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9" w:type="dxa"/>
        <w:tblCellMar>
          <w:left w:w="0" w:type="dxa"/>
          <w:right w:w="0" w:type="dxa"/>
        </w:tblCellMar>
        <w:tblLook w:val="04A0" w:firstRow="1" w:lastRow="0" w:firstColumn="1" w:lastColumn="0" w:noHBand="0" w:noVBand="1"/>
      </w:tblPr>
      <w:tblGrid>
        <w:gridCol w:w="10490"/>
      </w:tblGrid>
      <w:tr w:rsidR="001F4E15" w:rsidTr="001F4E15">
        <w:trPr>
          <w:trHeight w:val="663"/>
        </w:trPr>
        <w:tc>
          <w:tcPr>
            <w:tcW w:w="10490" w:type="dxa"/>
            <w:shd w:val="clear" w:color="auto" w:fill="0070C0"/>
            <w:tcMar>
              <w:top w:w="0" w:type="dxa"/>
              <w:left w:w="108" w:type="dxa"/>
              <w:bottom w:w="0" w:type="dxa"/>
              <w:right w:w="108" w:type="dxa"/>
            </w:tcMar>
            <w:vAlign w:val="center"/>
            <w:hideMark/>
          </w:tcPr>
          <w:p w:rsidR="001F115F" w:rsidRDefault="00F00973" w:rsidP="007F0EEB">
            <w:pPr>
              <w:jc w:val="center"/>
              <w:rPr>
                <w:b/>
                <w:bCs/>
                <w:color w:val="FFFFFF"/>
                <w:sz w:val="32"/>
                <w:szCs w:val="32"/>
              </w:rPr>
            </w:pPr>
            <w:bookmarkStart w:id="0" w:name="_GoBack"/>
            <w:bookmarkEnd w:id="0"/>
            <w:r>
              <w:rPr>
                <w:noProof/>
                <w:lang w:eastAsia="en-GB"/>
              </w:rPr>
              <w:drawing>
                <wp:inline distT="0" distB="0" distL="0" distR="0" wp14:anchorId="12BDADAC" wp14:editId="6146A8BF">
                  <wp:extent cx="933450" cy="463550"/>
                  <wp:effectExtent l="0" t="0" r="0" b="0"/>
                  <wp:docPr id="8"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463550"/>
                          </a:xfrm>
                          <a:prstGeom prst="rect">
                            <a:avLst/>
                          </a:prstGeom>
                          <a:noFill/>
                          <a:ln>
                            <a:noFill/>
                          </a:ln>
                        </pic:spPr>
                      </pic:pic>
                    </a:graphicData>
                  </a:graphic>
                </wp:inline>
              </w:drawing>
            </w:r>
          </w:p>
          <w:p w:rsidR="007F0EEB" w:rsidRDefault="001F4E15" w:rsidP="007F0EEB">
            <w:pPr>
              <w:jc w:val="center"/>
              <w:rPr>
                <w:b/>
                <w:bCs/>
                <w:color w:val="FFFFFF"/>
                <w:sz w:val="32"/>
                <w:szCs w:val="32"/>
              </w:rPr>
            </w:pPr>
            <w:r>
              <w:rPr>
                <w:b/>
                <w:bCs/>
                <w:color w:val="FFFFFF"/>
                <w:sz w:val="32"/>
                <w:szCs w:val="32"/>
              </w:rPr>
              <w:t>News</w:t>
            </w:r>
            <w:r w:rsidR="001F115F">
              <w:rPr>
                <w:b/>
                <w:bCs/>
                <w:color w:val="FFFFFF"/>
                <w:sz w:val="32"/>
                <w:szCs w:val="32"/>
              </w:rPr>
              <w:t xml:space="preserve"> &amp; </w:t>
            </w:r>
            <w:r>
              <w:rPr>
                <w:b/>
                <w:bCs/>
                <w:color w:val="FFFFFF"/>
                <w:sz w:val="32"/>
                <w:szCs w:val="32"/>
              </w:rPr>
              <w:t>Information from the Partnership, Partners and beyond…</w:t>
            </w:r>
          </w:p>
          <w:p w:rsidR="001F4E15" w:rsidRPr="007F0EEB" w:rsidRDefault="007F0EEB" w:rsidP="005920C4">
            <w:pPr>
              <w:jc w:val="right"/>
              <w:rPr>
                <w:color w:val="FFFFFF" w:themeColor="background1"/>
              </w:rPr>
            </w:pPr>
            <w:r w:rsidRPr="007F0EEB">
              <w:rPr>
                <w:color w:val="FFFFFF" w:themeColor="background1"/>
              </w:rPr>
              <w:t xml:space="preserve">Issue No. </w:t>
            </w:r>
            <w:r w:rsidR="005920C4">
              <w:rPr>
                <w:color w:val="FFFFFF" w:themeColor="background1"/>
              </w:rPr>
              <w:t>10</w:t>
            </w:r>
            <w:r w:rsidR="00524DE6">
              <w:rPr>
                <w:color w:val="FFFFFF" w:themeColor="background1"/>
              </w:rPr>
              <w:t xml:space="preserve">                                                                                                                          </w:t>
            </w:r>
            <w:r w:rsidR="005920C4">
              <w:rPr>
                <w:color w:val="FFFFFF" w:themeColor="background1"/>
              </w:rPr>
              <w:t xml:space="preserve">                               </w:t>
            </w:r>
            <w:r w:rsidR="00524DE6">
              <w:rPr>
                <w:color w:val="FFFFFF" w:themeColor="background1"/>
              </w:rPr>
              <w:t xml:space="preserve">  </w:t>
            </w:r>
            <w:r w:rsidR="005920C4">
              <w:rPr>
                <w:color w:val="FFFFFF" w:themeColor="background1"/>
              </w:rPr>
              <w:t>5</w:t>
            </w:r>
            <w:r w:rsidR="005920C4" w:rsidRPr="005920C4">
              <w:rPr>
                <w:color w:val="FFFFFF" w:themeColor="background1"/>
                <w:vertAlign w:val="superscript"/>
              </w:rPr>
              <w:t>th</w:t>
            </w:r>
            <w:r w:rsidR="005920C4">
              <w:rPr>
                <w:color w:val="FFFFFF" w:themeColor="background1"/>
              </w:rPr>
              <w:t xml:space="preserve"> October2020</w:t>
            </w:r>
          </w:p>
        </w:tc>
      </w:tr>
    </w:tbl>
    <w:tbl>
      <w:tblPr>
        <w:tblStyle w:val="TableGrid"/>
        <w:tblW w:w="10485" w:type="dxa"/>
        <w:tblInd w:w="-709" w:type="dxa"/>
        <w:tblLook w:val="04A0" w:firstRow="1" w:lastRow="0" w:firstColumn="1" w:lastColumn="0" w:noHBand="0" w:noVBand="1"/>
      </w:tblPr>
      <w:tblGrid>
        <w:gridCol w:w="2873"/>
        <w:gridCol w:w="7612"/>
      </w:tblGrid>
      <w:tr w:rsidR="00124607" w:rsidTr="0081289C">
        <w:trPr>
          <w:trHeight w:val="2905"/>
        </w:trPr>
        <w:tc>
          <w:tcPr>
            <w:tcW w:w="2873" w:type="dxa"/>
            <w:vAlign w:val="center"/>
          </w:tcPr>
          <w:p w:rsidR="001E18F0" w:rsidRDefault="001E18F0" w:rsidP="005920C4">
            <w:pPr>
              <w:jc w:val="center"/>
              <w:rPr>
                <w:rFonts w:cs="Calibri"/>
                <w:b/>
                <w:sz w:val="32"/>
                <w:szCs w:val="32"/>
              </w:rPr>
            </w:pPr>
          </w:p>
          <w:p w:rsidR="001E18F0" w:rsidRDefault="001E18F0" w:rsidP="005920C4">
            <w:pPr>
              <w:jc w:val="center"/>
              <w:rPr>
                <w:rFonts w:cs="Calibri"/>
                <w:b/>
                <w:sz w:val="32"/>
                <w:szCs w:val="32"/>
              </w:rPr>
            </w:pPr>
          </w:p>
          <w:p w:rsidR="005920C4" w:rsidRDefault="001E18F0" w:rsidP="005920C4">
            <w:pPr>
              <w:jc w:val="center"/>
              <w:rPr>
                <w:rFonts w:cs="Calibri"/>
                <w:b/>
                <w:sz w:val="32"/>
                <w:szCs w:val="32"/>
              </w:rPr>
            </w:pPr>
            <w:r>
              <w:rPr>
                <w:rFonts w:cs="Calibri"/>
                <w:b/>
                <w:sz w:val="32"/>
                <w:szCs w:val="32"/>
              </w:rPr>
              <w:t>Ch</w:t>
            </w:r>
            <w:r w:rsidR="005920C4" w:rsidRPr="005920C4">
              <w:rPr>
                <w:rFonts w:cs="Calibri"/>
                <w:b/>
                <w:sz w:val="32"/>
                <w:szCs w:val="32"/>
              </w:rPr>
              <w:t>anges to Wiltshire Police Early Intervention Offer</w:t>
            </w:r>
          </w:p>
          <w:p w:rsidR="001E18F0" w:rsidRDefault="001E18F0" w:rsidP="005920C4">
            <w:pPr>
              <w:jc w:val="center"/>
              <w:rPr>
                <w:rFonts w:cs="Calibri"/>
                <w:b/>
                <w:sz w:val="32"/>
                <w:szCs w:val="32"/>
              </w:rPr>
            </w:pPr>
          </w:p>
          <w:p w:rsidR="005920C4" w:rsidRPr="005920C4" w:rsidRDefault="005920C4" w:rsidP="005920C4">
            <w:pPr>
              <w:jc w:val="center"/>
              <w:rPr>
                <w:rFonts w:cs="Calibri"/>
                <w:b/>
                <w:sz w:val="32"/>
                <w:szCs w:val="32"/>
              </w:rPr>
            </w:pPr>
          </w:p>
          <w:p w:rsidR="005920C4" w:rsidRPr="005920C4" w:rsidRDefault="005920C4" w:rsidP="005920C4">
            <w:pPr>
              <w:jc w:val="center"/>
              <w:rPr>
                <w:rFonts w:cs="Calibri"/>
                <w:b/>
                <w:sz w:val="32"/>
                <w:szCs w:val="32"/>
              </w:rPr>
            </w:pPr>
            <w:r w:rsidRPr="005920C4">
              <w:rPr>
                <w:rFonts w:cs="Calibri"/>
                <w:b/>
                <w:sz w:val="32"/>
                <w:szCs w:val="32"/>
              </w:rPr>
              <w:t>S</w:t>
            </w:r>
            <w:r>
              <w:rPr>
                <w:rFonts w:cs="Calibri"/>
                <w:b/>
                <w:sz w:val="32"/>
                <w:szCs w:val="32"/>
              </w:rPr>
              <w:t>WI</w:t>
            </w:r>
            <w:r w:rsidRPr="005920C4">
              <w:rPr>
                <w:rFonts w:cs="Calibri"/>
                <w:b/>
                <w:sz w:val="32"/>
                <w:szCs w:val="32"/>
              </w:rPr>
              <w:t xml:space="preserve">FT: </w:t>
            </w:r>
            <w:r w:rsidRPr="005920C4">
              <w:rPr>
                <w:rFonts w:cs="Calibri"/>
                <w:b/>
                <w:i/>
                <w:iCs/>
                <w:sz w:val="32"/>
                <w:szCs w:val="32"/>
              </w:rPr>
              <w:t>Swindon and Wiltshire Intervention for Families to Thrive</w:t>
            </w:r>
          </w:p>
          <w:p w:rsidR="00FA263B" w:rsidRPr="005920C4" w:rsidRDefault="00FA263B" w:rsidP="005920C4">
            <w:pPr>
              <w:jc w:val="center"/>
              <w:rPr>
                <w:b/>
                <w:color w:val="7030A0"/>
                <w:sz w:val="28"/>
                <w:szCs w:val="28"/>
              </w:rPr>
            </w:pPr>
          </w:p>
          <w:p w:rsidR="00FA263B" w:rsidRPr="00FA263B" w:rsidRDefault="00FA263B" w:rsidP="009B5830">
            <w:pPr>
              <w:jc w:val="center"/>
              <w:rPr>
                <w:b/>
                <w:color w:val="7030A0"/>
                <w:sz w:val="4"/>
              </w:rPr>
            </w:pPr>
          </w:p>
          <w:p w:rsidR="00841F78" w:rsidRPr="00224995" w:rsidRDefault="005920C4" w:rsidP="00224995">
            <w:pPr>
              <w:jc w:val="center"/>
              <w:rPr>
                <w:b/>
                <w:color w:val="7030A0"/>
                <w:sz w:val="36"/>
              </w:rPr>
            </w:pPr>
            <w:r>
              <w:rPr>
                <w:noProof/>
                <w:lang w:eastAsia="en-GB"/>
              </w:rPr>
              <w:drawing>
                <wp:inline distT="0" distB="0" distL="0" distR="0" wp14:anchorId="4B9BCFB8" wp14:editId="0E313EC2">
                  <wp:extent cx="1152889" cy="1403350"/>
                  <wp:effectExtent l="0" t="0" r="9525"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776" cy="1419037"/>
                          </a:xfrm>
                          <a:prstGeom prst="rect">
                            <a:avLst/>
                          </a:prstGeom>
                          <a:noFill/>
                          <a:ln>
                            <a:noFill/>
                          </a:ln>
                        </pic:spPr>
                      </pic:pic>
                    </a:graphicData>
                  </a:graphic>
                </wp:inline>
              </w:drawing>
            </w:r>
          </w:p>
        </w:tc>
        <w:tc>
          <w:tcPr>
            <w:tcW w:w="7612" w:type="dxa"/>
          </w:tcPr>
          <w:p w:rsidR="005920C4" w:rsidRDefault="005920C4" w:rsidP="005920C4">
            <w:pPr>
              <w:rPr>
                <w:rFonts w:cs="Calibri"/>
              </w:rPr>
            </w:pPr>
            <w:r w:rsidRPr="005920C4">
              <w:rPr>
                <w:rFonts w:cs="Calibri"/>
                <w:b/>
              </w:rPr>
              <w:t xml:space="preserve">SWIFT: </w:t>
            </w:r>
            <w:r w:rsidRPr="005920C4">
              <w:rPr>
                <w:rFonts w:cs="Calibri"/>
              </w:rPr>
              <w:t>Wiltshire Police response to support communities who may require an early intervention to</w:t>
            </w:r>
            <w:r>
              <w:rPr>
                <w:rFonts w:cs="Calibri"/>
              </w:rPr>
              <w:t>:</w:t>
            </w:r>
          </w:p>
          <w:p w:rsidR="005920C4" w:rsidRDefault="005920C4" w:rsidP="00EB7048">
            <w:pPr>
              <w:pStyle w:val="ListParagraph"/>
              <w:numPr>
                <w:ilvl w:val="0"/>
                <w:numId w:val="17"/>
              </w:numPr>
              <w:rPr>
                <w:rFonts w:cs="Calibri"/>
              </w:rPr>
            </w:pPr>
            <w:r w:rsidRPr="005920C4">
              <w:rPr>
                <w:rFonts w:cs="Calibri"/>
              </w:rPr>
              <w:t>Stop issues and risks escalating</w:t>
            </w:r>
            <w:r>
              <w:rPr>
                <w:rFonts w:cs="Calibri"/>
              </w:rPr>
              <w:t>.</w:t>
            </w:r>
            <w:r w:rsidRPr="005920C4">
              <w:rPr>
                <w:rFonts w:cs="Calibri"/>
              </w:rPr>
              <w:t xml:space="preserve"> </w:t>
            </w:r>
          </w:p>
          <w:p w:rsidR="005920C4" w:rsidRDefault="005920C4" w:rsidP="00EB7048">
            <w:pPr>
              <w:pStyle w:val="ListParagraph"/>
              <w:numPr>
                <w:ilvl w:val="0"/>
                <w:numId w:val="17"/>
              </w:numPr>
              <w:rPr>
                <w:rFonts w:cs="Calibri"/>
              </w:rPr>
            </w:pPr>
            <w:r w:rsidRPr="005920C4">
              <w:rPr>
                <w:rFonts w:cs="Calibri"/>
              </w:rPr>
              <w:t>Prevent young people from becoming part of the criminal justice system.</w:t>
            </w:r>
          </w:p>
          <w:p w:rsidR="005920C4" w:rsidRPr="005920C4" w:rsidRDefault="005920C4" w:rsidP="00EB7048">
            <w:pPr>
              <w:pStyle w:val="ListParagraph"/>
              <w:numPr>
                <w:ilvl w:val="0"/>
                <w:numId w:val="17"/>
              </w:numPr>
              <w:rPr>
                <w:rFonts w:cs="Calibri"/>
              </w:rPr>
            </w:pPr>
            <w:r w:rsidRPr="005920C4">
              <w:rPr>
                <w:rFonts w:cs="Calibri"/>
              </w:rPr>
              <w:t xml:space="preserve">Reduce </w:t>
            </w:r>
            <w:r>
              <w:rPr>
                <w:rFonts w:cs="Calibri"/>
              </w:rPr>
              <w:t xml:space="preserve">the </w:t>
            </w:r>
            <w:r w:rsidRPr="005920C4">
              <w:rPr>
                <w:rFonts w:cs="Calibri"/>
              </w:rPr>
              <w:t>vulnerability of young people becoming victims or perpetrators of crime</w:t>
            </w:r>
            <w:r>
              <w:rPr>
                <w:rFonts w:cs="Calibri"/>
              </w:rPr>
              <w:t>.</w:t>
            </w:r>
            <w:r w:rsidRPr="005920C4">
              <w:rPr>
                <w:rFonts w:cs="Calibri"/>
              </w:rPr>
              <w:t xml:space="preserve"> </w:t>
            </w:r>
          </w:p>
          <w:p w:rsidR="005920C4" w:rsidRPr="005920C4" w:rsidRDefault="005920C4" w:rsidP="005920C4">
            <w:pPr>
              <w:rPr>
                <w:rFonts w:cs="Calibri"/>
              </w:rPr>
            </w:pPr>
            <w:r w:rsidRPr="005920C4">
              <w:rPr>
                <w:rFonts w:cs="Calibri"/>
              </w:rPr>
              <w:t xml:space="preserve">Wiltshire Police now offer a new targeted intervention programme for children/young people </w:t>
            </w:r>
            <w:r w:rsidRPr="005920C4">
              <w:rPr>
                <w:rFonts w:cs="Calibri"/>
                <w:b/>
              </w:rPr>
              <w:t>(SWIFT)</w:t>
            </w:r>
            <w:r w:rsidRPr="005920C4">
              <w:rPr>
                <w:rFonts w:cs="Calibri"/>
              </w:rPr>
              <w:t xml:space="preserve"> which builds on the previous Early Intervention Project.  Following a multi-agency assessment</w:t>
            </w:r>
            <w:r w:rsidRPr="005920C4">
              <w:rPr>
                <w:rFonts w:cs="Calibri"/>
                <w:sz w:val="24"/>
                <w:szCs w:val="24"/>
              </w:rPr>
              <w:t xml:space="preserve">, </w:t>
            </w:r>
            <w:r w:rsidRPr="005920C4">
              <w:rPr>
                <w:rFonts w:cs="Calibri"/>
              </w:rPr>
              <w:t xml:space="preserve">Early Intervention staff will work alongside the Local Authority’s Early Help Hub (EHH) to effectively triage and signpost young people to trusted adults. The identified young people will be from 8 -15 years old </w:t>
            </w:r>
            <w:r>
              <w:rPr>
                <w:rFonts w:cs="Calibri"/>
              </w:rPr>
              <w:t xml:space="preserve">who are </w:t>
            </w:r>
            <w:r w:rsidRPr="005920C4">
              <w:rPr>
                <w:rFonts w:cs="Calibri"/>
              </w:rPr>
              <w:t>not already engaged with statutory services (e.g. those on a Child Protection Plan).</w:t>
            </w:r>
            <w:r>
              <w:rPr>
                <w:rFonts w:cs="Calibri"/>
              </w:rPr>
              <w:t xml:space="preserve">  </w:t>
            </w:r>
            <w:r w:rsidRPr="005920C4">
              <w:rPr>
                <w:rFonts w:cs="Calibri"/>
                <w:b/>
                <w:u w:val="single"/>
              </w:rPr>
              <w:t>Trusted adults</w:t>
            </w:r>
            <w:r w:rsidRPr="005920C4">
              <w:rPr>
                <w:rFonts w:cs="Calibri"/>
              </w:rPr>
              <w:t xml:space="preserve"> are an identified police officer or police community support officer who will work with a young person</w:t>
            </w:r>
            <w:r>
              <w:rPr>
                <w:rFonts w:cs="Calibri"/>
              </w:rPr>
              <w:t>/</w:t>
            </w:r>
            <w:r w:rsidRPr="005920C4">
              <w:rPr>
                <w:rFonts w:cs="Calibri"/>
              </w:rPr>
              <w:t xml:space="preserve">their family to identify and try to understand the root causes of behaviour. They will work with the young person for the duration of the programme, a maximum of six months, using the intervention to build a sustainable solution to reduce their level of risk / vulnerability and to prevent them coming to notice.  </w:t>
            </w:r>
          </w:p>
          <w:p w:rsidR="005920C4" w:rsidRPr="005920C4" w:rsidRDefault="005920C4" w:rsidP="005920C4">
            <w:pPr>
              <w:rPr>
                <w:rFonts w:cs="Calibri"/>
              </w:rPr>
            </w:pPr>
            <w:r w:rsidRPr="005920C4">
              <w:rPr>
                <w:rFonts w:cs="Calibri"/>
              </w:rPr>
              <w:t>Referrals into the programme will be through RF1’s (other agencies) and PPD1s (Police). These will be triaged for safeguarding concerns by MASH and if appropriate after screening, will go to the EHH for assessment. SWIFT will be one of a number of programmes available and EHH staff, along with Wiltshire Police Early Intervention PC</w:t>
            </w:r>
            <w:r w:rsidR="00BC58EC">
              <w:rPr>
                <w:rFonts w:cs="Calibri"/>
              </w:rPr>
              <w:t>’</w:t>
            </w:r>
            <w:r w:rsidRPr="005920C4">
              <w:rPr>
                <w:rFonts w:cs="Calibri"/>
              </w:rPr>
              <w:t>s will agree whether SWIFT is the right fit for the young person and their family.  SWIFT is</w:t>
            </w:r>
            <w:r>
              <w:rPr>
                <w:rFonts w:cs="Calibri"/>
              </w:rPr>
              <w:t xml:space="preserve"> </w:t>
            </w:r>
            <w:r w:rsidRPr="005920C4">
              <w:rPr>
                <w:rFonts w:cs="Calibri"/>
              </w:rPr>
              <w:t>a consent based programme so the young person/their parents or guardian would</w:t>
            </w:r>
            <w:r>
              <w:rPr>
                <w:rFonts w:cs="Calibri"/>
              </w:rPr>
              <w:t xml:space="preserve"> also </w:t>
            </w:r>
            <w:r w:rsidRPr="005920C4">
              <w:rPr>
                <w:rFonts w:cs="Calibri"/>
              </w:rPr>
              <w:t xml:space="preserve">need to be in agreement before they can begin the programme.  </w:t>
            </w:r>
          </w:p>
          <w:p w:rsidR="005920C4" w:rsidRPr="005920C4" w:rsidRDefault="005920C4" w:rsidP="005920C4">
            <w:pPr>
              <w:rPr>
                <w:rFonts w:cs="Calibri"/>
              </w:rPr>
            </w:pPr>
            <w:r w:rsidRPr="005920C4">
              <w:rPr>
                <w:rFonts w:cs="Calibri"/>
              </w:rPr>
              <w:t xml:space="preserve">SWIFT is a strengths based programme, understanding the impact of Adverse Childhood Experiences (ACEs) and trauma, but focussing on Protective and Compensatory Experiences (PACEs). The programme has five objectives: </w:t>
            </w:r>
          </w:p>
          <w:p w:rsidR="005920C4" w:rsidRPr="005920C4" w:rsidRDefault="005920C4" w:rsidP="005920C4">
            <w:pPr>
              <w:rPr>
                <w:rFonts w:eastAsia="Times New Roman" w:cs="Calibri"/>
              </w:rPr>
            </w:pPr>
            <w:r w:rsidRPr="005920C4">
              <w:rPr>
                <w:rFonts w:cs="Calibri"/>
              </w:rPr>
              <w:t xml:space="preserve">1. </w:t>
            </w:r>
            <w:r w:rsidRPr="005920C4">
              <w:rPr>
                <w:rFonts w:eastAsia="Times New Roman" w:cs="Calibri"/>
              </w:rPr>
              <w:t xml:space="preserve">Engage with the young person/ family at the earliest opportunity. </w:t>
            </w:r>
          </w:p>
          <w:p w:rsidR="005920C4" w:rsidRPr="005920C4" w:rsidRDefault="005920C4" w:rsidP="005920C4">
            <w:pPr>
              <w:rPr>
                <w:rFonts w:eastAsia="Times New Roman" w:cs="Calibri"/>
              </w:rPr>
            </w:pPr>
            <w:r w:rsidRPr="005920C4">
              <w:rPr>
                <w:rFonts w:eastAsia="Times New Roman" w:cs="Calibri"/>
              </w:rPr>
              <w:t xml:space="preserve">2. Build trusted relationships and develop resilience to increase young peoples/families and the community’s confidence in the police. </w:t>
            </w:r>
          </w:p>
          <w:p w:rsidR="005920C4" w:rsidRPr="005920C4" w:rsidRDefault="005920C4" w:rsidP="005920C4">
            <w:pPr>
              <w:rPr>
                <w:rFonts w:eastAsia="Times New Roman" w:cs="Calibri"/>
              </w:rPr>
            </w:pPr>
            <w:r w:rsidRPr="005920C4">
              <w:rPr>
                <w:rFonts w:eastAsia="Times New Roman" w:cs="Calibri"/>
              </w:rPr>
              <w:t>3. Increase the self-esteem of the young person, using a trauma informed strengths based approach, supporting them to understand their skills and potential.</w:t>
            </w:r>
          </w:p>
          <w:p w:rsidR="005920C4" w:rsidRPr="005920C4" w:rsidRDefault="005920C4" w:rsidP="005920C4">
            <w:pPr>
              <w:rPr>
                <w:rFonts w:eastAsia="Times New Roman" w:cs="Calibri"/>
              </w:rPr>
            </w:pPr>
            <w:r w:rsidRPr="005920C4">
              <w:rPr>
                <w:rFonts w:eastAsia="Times New Roman" w:cs="Calibri"/>
              </w:rPr>
              <w:t xml:space="preserve"> 4. Using a Contextual Safeguarding approach, build the young person’s/families knowledge of local and online support/activities available. </w:t>
            </w:r>
          </w:p>
          <w:p w:rsidR="00A2739D" w:rsidRDefault="005920C4" w:rsidP="00124607">
            <w:r w:rsidRPr="005920C4">
              <w:rPr>
                <w:rFonts w:eastAsia="Times New Roman" w:cs="Calibri"/>
              </w:rPr>
              <w:t xml:space="preserve">5. After the intervention, the young person and their family should no longer need support from Wiltshire police, issues will not have escalated and if necessary they would be signposted to further support. </w:t>
            </w:r>
            <w:r w:rsidR="00A5460A">
              <w:rPr>
                <w:rFonts w:eastAsia="Times New Roman" w:cs="Calibri"/>
              </w:rPr>
              <w:t xml:space="preserve"> </w:t>
            </w:r>
            <w:r w:rsidRPr="005920C4">
              <w:rPr>
                <w:rFonts w:cs="Calibri"/>
              </w:rPr>
              <w:t xml:space="preserve">For more information, please contact the team at </w:t>
            </w:r>
            <w:hyperlink r:id="rId7" w:history="1">
              <w:r w:rsidRPr="005920C4">
                <w:rPr>
                  <w:rFonts w:cs="Calibri"/>
                  <w:color w:val="0563C1"/>
                  <w:u w:val="single"/>
                </w:rPr>
                <w:t>Swiftswindon@wiltshire.pnn.police.uk</w:t>
              </w:r>
            </w:hyperlink>
            <w:r w:rsidRPr="005920C4">
              <w:rPr>
                <w:rFonts w:cs="Calibri"/>
              </w:rPr>
              <w:t>.</w:t>
            </w:r>
          </w:p>
        </w:tc>
      </w:tr>
      <w:tr w:rsidR="00124607" w:rsidTr="00A844C0">
        <w:trPr>
          <w:trHeight w:val="80"/>
        </w:trPr>
        <w:tc>
          <w:tcPr>
            <w:tcW w:w="2873" w:type="dxa"/>
            <w:shd w:val="clear" w:color="auto" w:fill="7030A0"/>
          </w:tcPr>
          <w:p w:rsidR="00202E4E" w:rsidRPr="00202E4E" w:rsidRDefault="00202E4E" w:rsidP="00A71802">
            <w:pPr>
              <w:jc w:val="center"/>
              <w:rPr>
                <w:b/>
                <w:color w:val="BF8F00" w:themeColor="accent4" w:themeShade="BF"/>
                <w:sz w:val="2"/>
              </w:rPr>
            </w:pPr>
          </w:p>
        </w:tc>
        <w:tc>
          <w:tcPr>
            <w:tcW w:w="7612" w:type="dxa"/>
            <w:shd w:val="clear" w:color="auto" w:fill="7030A0"/>
            <w:vAlign w:val="center"/>
          </w:tcPr>
          <w:p w:rsidR="00202E4E" w:rsidRPr="00202E4E" w:rsidRDefault="00202E4E" w:rsidP="00A71802">
            <w:pPr>
              <w:rPr>
                <w:sz w:val="8"/>
              </w:rPr>
            </w:pPr>
          </w:p>
        </w:tc>
      </w:tr>
      <w:tr w:rsidR="00124607" w:rsidTr="00A844C0">
        <w:trPr>
          <w:trHeight w:val="1423"/>
        </w:trPr>
        <w:tc>
          <w:tcPr>
            <w:tcW w:w="2873" w:type="dxa"/>
            <w:vAlign w:val="center"/>
          </w:tcPr>
          <w:p w:rsidR="009B5EFE" w:rsidRDefault="009B5EFE" w:rsidP="00F106A4">
            <w:pPr>
              <w:jc w:val="center"/>
              <w:rPr>
                <w:b/>
                <w:noProof/>
                <w:lang w:eastAsia="en-GB"/>
              </w:rPr>
            </w:pPr>
            <w:r>
              <w:rPr>
                <w:noProof/>
                <w:lang w:eastAsia="en-GB"/>
              </w:rPr>
              <w:drawing>
                <wp:inline distT="0" distB="0" distL="0" distR="0" wp14:anchorId="7847FD47" wp14:editId="7EC11C1D">
                  <wp:extent cx="1619250" cy="53975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379" cy="550793"/>
                          </a:xfrm>
                          <a:prstGeom prst="rect">
                            <a:avLst/>
                          </a:prstGeom>
                          <a:noFill/>
                          <a:ln>
                            <a:noFill/>
                          </a:ln>
                        </pic:spPr>
                      </pic:pic>
                    </a:graphicData>
                  </a:graphic>
                </wp:inline>
              </w:drawing>
            </w:r>
          </w:p>
        </w:tc>
        <w:tc>
          <w:tcPr>
            <w:tcW w:w="7612" w:type="dxa"/>
          </w:tcPr>
          <w:p w:rsidR="00A272E6" w:rsidRDefault="00BC3FCC" w:rsidP="00A272E6">
            <w:pPr>
              <w:outlineLvl w:val="0"/>
              <w:rPr>
                <w:rFonts w:asciiTheme="minorHAnsi" w:eastAsia="Times New Roman" w:hAnsiTheme="minorHAnsi" w:cstheme="minorHAnsi"/>
                <w:lang w:eastAsia="en-GB"/>
              </w:rPr>
            </w:pPr>
            <w:hyperlink r:id="rId9" w:history="1">
              <w:r w:rsidR="00A272E6" w:rsidRPr="00A272E6">
                <w:rPr>
                  <w:rStyle w:val="Hyperlink"/>
                  <w:rFonts w:asciiTheme="minorHAnsi" w:eastAsia="Times New Roman" w:hAnsiTheme="minorHAnsi" w:cstheme="minorHAnsi"/>
                  <w:b/>
                  <w:kern w:val="36"/>
                  <w:lang w:eastAsia="en-GB"/>
                </w:rPr>
                <w:t>Reablement: guide for carers and families</w:t>
              </w:r>
            </w:hyperlink>
            <w:r w:rsidR="00A272E6">
              <w:rPr>
                <w:rFonts w:asciiTheme="minorHAnsi" w:eastAsia="Times New Roman" w:hAnsiTheme="minorHAnsi" w:cstheme="minorHAnsi"/>
                <w:b/>
                <w:color w:val="303030"/>
                <w:kern w:val="36"/>
                <w:lang w:eastAsia="en-GB"/>
              </w:rPr>
              <w:t>:</w:t>
            </w:r>
            <w:r w:rsidR="00A272E6">
              <w:rPr>
                <w:rFonts w:asciiTheme="minorHAnsi" w:eastAsia="Times New Roman" w:hAnsiTheme="minorHAnsi" w:cstheme="minorHAnsi"/>
                <w:color w:val="303030"/>
                <w:kern w:val="36"/>
                <w:lang w:eastAsia="en-GB"/>
              </w:rPr>
              <w:t xml:space="preserve"> B</w:t>
            </w:r>
            <w:r w:rsidR="00A272E6" w:rsidRPr="00A272E6">
              <w:rPr>
                <w:rFonts w:asciiTheme="minorHAnsi" w:eastAsia="Times New Roman" w:hAnsiTheme="minorHAnsi" w:cstheme="minorHAnsi"/>
                <w:lang w:eastAsia="en-GB"/>
              </w:rPr>
              <w:t>riefing</w:t>
            </w:r>
            <w:r w:rsidR="00A272E6">
              <w:rPr>
                <w:rFonts w:asciiTheme="minorHAnsi" w:eastAsia="Times New Roman" w:hAnsiTheme="minorHAnsi" w:cstheme="minorHAnsi"/>
                <w:lang w:eastAsia="en-GB"/>
              </w:rPr>
              <w:t xml:space="preserve"> </w:t>
            </w:r>
            <w:r w:rsidR="00A272E6" w:rsidRPr="00A272E6">
              <w:rPr>
                <w:rFonts w:asciiTheme="minorHAnsi" w:eastAsia="Times New Roman" w:hAnsiTheme="minorHAnsi" w:cstheme="minorHAnsi"/>
                <w:lang w:eastAsia="en-GB"/>
              </w:rPr>
              <w:t>for carers</w:t>
            </w:r>
            <w:r w:rsidR="00A272E6">
              <w:rPr>
                <w:rFonts w:asciiTheme="minorHAnsi" w:eastAsia="Times New Roman" w:hAnsiTheme="minorHAnsi" w:cstheme="minorHAnsi"/>
                <w:lang w:eastAsia="en-GB"/>
              </w:rPr>
              <w:t>/</w:t>
            </w:r>
            <w:r w:rsidR="00A272E6" w:rsidRPr="00A272E6">
              <w:rPr>
                <w:rFonts w:asciiTheme="minorHAnsi" w:eastAsia="Times New Roman" w:hAnsiTheme="minorHAnsi" w:cstheme="minorHAnsi"/>
                <w:lang w:eastAsia="en-GB"/>
              </w:rPr>
              <w:t>families; it explains what reablement is and what you can do to help. It looks at how reablement supports independence, safety</w:t>
            </w:r>
            <w:r w:rsidR="00A272E6">
              <w:rPr>
                <w:rFonts w:asciiTheme="minorHAnsi" w:eastAsia="Times New Roman" w:hAnsiTheme="minorHAnsi" w:cstheme="minorHAnsi"/>
                <w:lang w:eastAsia="en-GB"/>
              </w:rPr>
              <w:t xml:space="preserve"> &amp; </w:t>
            </w:r>
            <w:r w:rsidR="00A272E6" w:rsidRPr="00A272E6">
              <w:rPr>
                <w:rFonts w:asciiTheme="minorHAnsi" w:eastAsia="Times New Roman" w:hAnsiTheme="minorHAnsi" w:cstheme="minorHAnsi"/>
                <w:lang w:eastAsia="en-GB"/>
              </w:rPr>
              <w:t xml:space="preserve">wellbeing, as well as who can access reablement services and what can be expected. </w:t>
            </w:r>
            <w:r w:rsidR="00A272E6">
              <w:rPr>
                <w:rFonts w:asciiTheme="minorHAnsi" w:eastAsia="Times New Roman" w:hAnsiTheme="minorHAnsi" w:cstheme="minorHAnsi"/>
                <w:lang w:eastAsia="en-GB"/>
              </w:rPr>
              <w:t xml:space="preserve">Also useful for professionals. </w:t>
            </w:r>
          </w:p>
          <w:p w:rsidR="009B5EFE" w:rsidRDefault="00134064" w:rsidP="00A272E6">
            <w:pPr>
              <w:outlineLvl w:val="0"/>
              <w:rPr>
                <w:rFonts w:asciiTheme="minorHAnsi" w:hAnsiTheme="minorHAnsi" w:cstheme="minorHAnsi"/>
                <w:color w:val="303030"/>
              </w:rPr>
            </w:pPr>
            <w:r>
              <w:t xml:space="preserve">Useful information: </w:t>
            </w:r>
            <w:hyperlink r:id="rId10" w:history="1">
              <w:r w:rsidR="00A272E6" w:rsidRPr="00A272E6">
                <w:rPr>
                  <w:rStyle w:val="Hyperlink"/>
                  <w:rFonts w:asciiTheme="minorHAnsi" w:hAnsiTheme="minorHAnsi" w:cstheme="minorHAnsi"/>
                </w:rPr>
                <w:t>Podcasts about coronavirus (COVID-19) and the care sector</w:t>
              </w:r>
            </w:hyperlink>
            <w:r w:rsidR="00A272E6">
              <w:rPr>
                <w:rFonts w:asciiTheme="minorHAnsi" w:hAnsiTheme="minorHAnsi" w:cstheme="minorHAnsi"/>
                <w:color w:val="303030"/>
              </w:rPr>
              <w:t>.</w:t>
            </w:r>
          </w:p>
          <w:p w:rsidR="00EF2374" w:rsidRDefault="00BC3FCC" w:rsidP="00EF2374">
            <w:pPr>
              <w:outlineLvl w:val="0"/>
              <w:rPr>
                <w:rFonts w:asciiTheme="minorHAnsi" w:hAnsiTheme="minorHAnsi" w:cstheme="minorHAnsi"/>
                <w:color w:val="303030"/>
              </w:rPr>
            </w:pPr>
            <w:hyperlink r:id="rId11" w:history="1">
              <w:r w:rsidR="00EF2374" w:rsidRPr="00EF2374">
                <w:rPr>
                  <w:rFonts w:asciiTheme="minorHAnsi" w:hAnsiTheme="minorHAnsi" w:cstheme="minorHAnsi"/>
                  <w:b/>
                  <w:bCs/>
                  <w:u w:val="single"/>
                  <w:bdr w:val="none" w:sz="0" w:space="0" w:color="auto" w:frame="1"/>
                </w:rPr>
                <w:t>Beyond COVID: new thinking on the future of adult social care</w:t>
              </w:r>
            </w:hyperlink>
            <w:r w:rsidR="00EF2374" w:rsidRPr="00EF2374">
              <w:rPr>
                <w:rFonts w:asciiTheme="minorHAnsi" w:hAnsiTheme="minorHAnsi" w:cstheme="minorHAnsi"/>
              </w:rPr>
              <w:t xml:space="preserve">: </w:t>
            </w:r>
            <w:r w:rsidR="00EF2374" w:rsidRPr="00EF2374">
              <w:rPr>
                <w:rFonts w:asciiTheme="minorHAnsi" w:hAnsiTheme="minorHAnsi" w:cstheme="minorHAnsi"/>
                <w:color w:val="303030"/>
              </w:rPr>
              <w:t xml:space="preserve">position paper for commissioners and senior managers working in the health and social care sector sets out the findings of the report. </w:t>
            </w:r>
          </w:p>
          <w:p w:rsidR="00124607" w:rsidRPr="00EF2374" w:rsidRDefault="00EF2374" w:rsidP="00853BDC">
            <w:pPr>
              <w:outlineLvl w:val="0"/>
              <w:rPr>
                <w:rFonts w:asciiTheme="minorHAnsi" w:eastAsia="Times New Roman" w:hAnsiTheme="minorHAnsi" w:cstheme="minorHAnsi"/>
                <w:color w:val="303030"/>
                <w:lang w:eastAsia="en-GB"/>
              </w:rPr>
            </w:pPr>
            <w:r>
              <w:rPr>
                <w:rFonts w:asciiTheme="minorHAnsi" w:hAnsiTheme="minorHAnsi" w:cstheme="minorHAnsi"/>
                <w:color w:val="303030"/>
              </w:rPr>
              <w:t xml:space="preserve">Resources for professionals including webinars and guidance </w:t>
            </w:r>
            <w:hyperlink r:id="rId12" w:history="1">
              <w:r w:rsidRPr="00EF2374">
                <w:rPr>
                  <w:rStyle w:val="Hyperlink"/>
                  <w:rFonts w:asciiTheme="minorHAnsi" w:hAnsiTheme="minorHAnsi" w:cstheme="minorHAnsi"/>
                </w:rPr>
                <w:t>click here</w:t>
              </w:r>
            </w:hyperlink>
            <w:r>
              <w:rPr>
                <w:rFonts w:asciiTheme="minorHAnsi" w:hAnsiTheme="minorHAnsi" w:cstheme="minorHAnsi"/>
                <w:color w:val="303030"/>
              </w:rPr>
              <w:t xml:space="preserve"> </w:t>
            </w:r>
          </w:p>
        </w:tc>
      </w:tr>
      <w:tr w:rsidR="00124607" w:rsidTr="00124607">
        <w:trPr>
          <w:trHeight w:val="1266"/>
        </w:trPr>
        <w:tc>
          <w:tcPr>
            <w:tcW w:w="2873" w:type="dxa"/>
            <w:vAlign w:val="center"/>
          </w:tcPr>
          <w:p w:rsidR="00F106A4" w:rsidRDefault="00BC3FCC" w:rsidP="00F106A4">
            <w:pPr>
              <w:jc w:val="center"/>
              <w:rPr>
                <w:b/>
                <w:noProof/>
                <w:sz w:val="24"/>
                <w:szCs w:val="24"/>
                <w:lang w:eastAsia="en-GB"/>
              </w:rPr>
            </w:pPr>
            <w:hyperlink r:id="rId13" w:history="1">
              <w:r w:rsidR="001F27B2" w:rsidRPr="00F235D5">
                <w:rPr>
                  <w:rStyle w:val="Hyperlink"/>
                  <w:b/>
                  <w:noProof/>
                  <w:sz w:val="24"/>
                  <w:szCs w:val="24"/>
                  <w:lang w:eastAsia="en-GB"/>
                </w:rPr>
                <w:t xml:space="preserve">Neglect Framework </w:t>
              </w:r>
              <w:r w:rsidR="00F235D5" w:rsidRPr="00F235D5">
                <w:rPr>
                  <w:rStyle w:val="Hyperlink"/>
                  <w:b/>
                  <w:noProof/>
                  <w:sz w:val="24"/>
                  <w:szCs w:val="24"/>
                  <w:lang w:eastAsia="en-GB"/>
                </w:rPr>
                <w:t>and Practice Guidance</w:t>
              </w:r>
            </w:hyperlink>
          </w:p>
          <w:p w:rsidR="00F235D5" w:rsidRDefault="00F235D5" w:rsidP="00F106A4">
            <w:pPr>
              <w:jc w:val="center"/>
              <w:rPr>
                <w:b/>
                <w:noProof/>
                <w:sz w:val="24"/>
                <w:szCs w:val="24"/>
                <w:lang w:eastAsia="en-GB"/>
              </w:rPr>
            </w:pPr>
          </w:p>
          <w:p w:rsidR="00F235D5" w:rsidRDefault="00BC3FCC" w:rsidP="00F106A4">
            <w:pPr>
              <w:jc w:val="center"/>
              <w:rPr>
                <w:b/>
                <w:noProof/>
                <w:sz w:val="24"/>
                <w:szCs w:val="24"/>
                <w:lang w:eastAsia="en-GB"/>
              </w:rPr>
            </w:pPr>
            <w:hyperlink r:id="rId14" w:history="1">
              <w:r w:rsidR="00F235D5" w:rsidRPr="00E0151B">
                <w:rPr>
                  <w:rStyle w:val="Hyperlink"/>
                  <w:b/>
                  <w:noProof/>
                  <w:sz w:val="24"/>
                  <w:szCs w:val="24"/>
                  <w:lang w:eastAsia="en-GB"/>
                </w:rPr>
                <w:t>Graded Care Profile 2 (GCP2)</w:t>
              </w:r>
            </w:hyperlink>
          </w:p>
          <w:p w:rsidR="00F235D5" w:rsidRPr="005F3A88" w:rsidRDefault="00F235D5" w:rsidP="00F106A4">
            <w:pPr>
              <w:jc w:val="center"/>
              <w:rPr>
                <w:b/>
                <w:noProof/>
                <w:sz w:val="24"/>
                <w:szCs w:val="24"/>
                <w:lang w:eastAsia="en-GB"/>
              </w:rPr>
            </w:pPr>
          </w:p>
          <w:p w:rsidR="00F21D61" w:rsidRPr="00075DCF" w:rsidRDefault="00DA14AB" w:rsidP="005920C4">
            <w:pPr>
              <w:jc w:val="center"/>
              <w:rPr>
                <w:b/>
                <w:noProof/>
                <w:lang w:eastAsia="en-GB"/>
              </w:rPr>
            </w:pPr>
            <w:r w:rsidRPr="00DA14AB">
              <w:rPr>
                <w:b/>
                <w:noProof/>
                <w:lang w:eastAsia="en-GB"/>
              </w:rPr>
              <w:drawing>
                <wp:inline distT="0" distB="0" distL="0" distR="0" wp14:anchorId="70AE4BD3" wp14:editId="43A41A01">
                  <wp:extent cx="1011031" cy="984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9176" cy="1021385"/>
                          </a:xfrm>
                          <a:prstGeom prst="rect">
                            <a:avLst/>
                          </a:prstGeom>
                          <a:noFill/>
                          <a:ln>
                            <a:noFill/>
                          </a:ln>
                        </pic:spPr>
                      </pic:pic>
                    </a:graphicData>
                  </a:graphic>
                </wp:inline>
              </w:drawing>
            </w:r>
          </w:p>
        </w:tc>
        <w:tc>
          <w:tcPr>
            <w:tcW w:w="7612" w:type="dxa"/>
          </w:tcPr>
          <w:p w:rsidR="00F235D5" w:rsidRPr="00F235D5" w:rsidRDefault="00F235D5" w:rsidP="00F235D5">
            <w:pPr>
              <w:rPr>
                <w:rFonts w:cs="Calibri"/>
              </w:rPr>
            </w:pPr>
            <w:r w:rsidRPr="00F235D5">
              <w:rPr>
                <w:rFonts w:cs="Calibri"/>
                <w:bCs/>
              </w:rPr>
              <w:t xml:space="preserve">The way in which we understand and define neglect can determine how we respond to it.  </w:t>
            </w:r>
            <w:r>
              <w:rPr>
                <w:rFonts w:cs="Calibri"/>
                <w:bCs/>
              </w:rPr>
              <w:t>The SSP N</w:t>
            </w:r>
            <w:r>
              <w:rPr>
                <w:rFonts w:asciiTheme="minorHAnsi" w:eastAsia="Times New Roman" w:hAnsiTheme="minorHAnsi" w:cstheme="minorHAnsi"/>
                <w:color w:val="303030"/>
                <w:lang w:eastAsia="en-GB"/>
              </w:rPr>
              <w:t xml:space="preserve">eglect Framework and Practice Guidance has been revised and updated. It is now published on the </w:t>
            </w:r>
            <w:hyperlink r:id="rId16" w:history="1">
              <w:r w:rsidRPr="00A2739D">
                <w:rPr>
                  <w:rStyle w:val="Hyperlink"/>
                  <w:rFonts w:asciiTheme="minorHAnsi" w:eastAsia="Times New Roman" w:hAnsiTheme="minorHAnsi" w:cstheme="minorHAnsi"/>
                  <w:lang w:eastAsia="en-GB"/>
                </w:rPr>
                <w:t>SSP website</w:t>
              </w:r>
            </w:hyperlink>
            <w:r>
              <w:rPr>
                <w:rFonts w:asciiTheme="minorHAnsi" w:eastAsia="Times New Roman" w:hAnsiTheme="minorHAnsi" w:cstheme="minorHAnsi"/>
                <w:color w:val="303030"/>
                <w:lang w:eastAsia="en-GB"/>
              </w:rPr>
              <w:t xml:space="preserve">. Professionals </w:t>
            </w:r>
            <w:r w:rsidRPr="00F235D5">
              <w:rPr>
                <w:rFonts w:cs="Calibri"/>
              </w:rPr>
              <w:t xml:space="preserve">should use this </w:t>
            </w:r>
            <w:r>
              <w:rPr>
                <w:rFonts w:cs="Calibri"/>
              </w:rPr>
              <w:t xml:space="preserve">document </w:t>
            </w:r>
            <w:r w:rsidRPr="00F235D5">
              <w:rPr>
                <w:rFonts w:cs="Calibri"/>
              </w:rPr>
              <w:t>when working with families where there are concerns about neglect. The Neglect Framework is designed to assist in the identification of child neglect and identify when there is a concern that the quality of care a child is receiving is leading to their develop</w:t>
            </w:r>
            <w:r>
              <w:rPr>
                <w:rFonts w:cs="Calibri"/>
              </w:rPr>
              <w:t xml:space="preserve">mental needs being neglected. SSP </w:t>
            </w:r>
            <w:r w:rsidRPr="00F235D5">
              <w:rPr>
                <w:rFonts w:cs="Calibri"/>
              </w:rPr>
              <w:t xml:space="preserve">have adopted the Graded Care Profile 2 (GCP2) assessment tool to assess neglect. The GCP2 assessment and this framework can also be used to support referrals and in reflective supervision meetings. </w:t>
            </w:r>
            <w:r>
              <w:rPr>
                <w:rFonts w:cs="Calibri"/>
              </w:rPr>
              <w:t xml:space="preserve"> </w:t>
            </w:r>
            <w:r w:rsidRPr="00F235D5">
              <w:rPr>
                <w:rFonts w:cs="Calibri"/>
              </w:rPr>
              <w:t xml:space="preserve">The framework provides a series of questions around the 5 key areas of: </w:t>
            </w:r>
          </w:p>
          <w:p w:rsidR="00F235D5" w:rsidRPr="00F235D5" w:rsidRDefault="00F235D5" w:rsidP="00F235D5">
            <w:pPr>
              <w:autoSpaceDE w:val="0"/>
              <w:autoSpaceDN w:val="0"/>
              <w:adjustRightInd w:val="0"/>
              <w:spacing w:after="20"/>
              <w:rPr>
                <w:rFonts w:cs="Calibri"/>
              </w:rPr>
            </w:pPr>
            <w:r w:rsidRPr="00F235D5">
              <w:rPr>
                <w:rFonts w:cs="Calibri"/>
              </w:rPr>
              <w:t xml:space="preserve">1. Persistence &amp; Change </w:t>
            </w:r>
          </w:p>
          <w:p w:rsidR="00F235D5" w:rsidRPr="00F235D5" w:rsidRDefault="00F235D5" w:rsidP="00F235D5">
            <w:pPr>
              <w:autoSpaceDE w:val="0"/>
              <w:autoSpaceDN w:val="0"/>
              <w:adjustRightInd w:val="0"/>
              <w:spacing w:after="20"/>
              <w:rPr>
                <w:rFonts w:cs="Calibri"/>
              </w:rPr>
            </w:pPr>
            <w:r w:rsidRPr="00F235D5">
              <w:rPr>
                <w:rFonts w:cs="Calibri"/>
              </w:rPr>
              <w:t xml:space="preserve">2. Child Development Areas </w:t>
            </w:r>
          </w:p>
          <w:p w:rsidR="00F235D5" w:rsidRPr="00F235D5" w:rsidRDefault="00F235D5" w:rsidP="00F235D5">
            <w:pPr>
              <w:autoSpaceDE w:val="0"/>
              <w:autoSpaceDN w:val="0"/>
              <w:adjustRightInd w:val="0"/>
              <w:spacing w:after="20"/>
              <w:rPr>
                <w:rFonts w:cs="Calibri"/>
              </w:rPr>
            </w:pPr>
            <w:r w:rsidRPr="00F235D5">
              <w:rPr>
                <w:rFonts w:cs="Calibri"/>
              </w:rPr>
              <w:t xml:space="preserve">3. Impact of neglect on the child and their lived experience </w:t>
            </w:r>
          </w:p>
          <w:p w:rsidR="00F235D5" w:rsidRPr="00F235D5" w:rsidRDefault="00F235D5" w:rsidP="00F235D5">
            <w:pPr>
              <w:autoSpaceDE w:val="0"/>
              <w:autoSpaceDN w:val="0"/>
              <w:adjustRightInd w:val="0"/>
              <w:spacing w:after="20"/>
              <w:rPr>
                <w:rFonts w:cs="Calibri"/>
              </w:rPr>
            </w:pPr>
            <w:r w:rsidRPr="00F235D5">
              <w:rPr>
                <w:rFonts w:cs="Calibri"/>
              </w:rPr>
              <w:t xml:space="preserve">4. Causal factors </w:t>
            </w:r>
          </w:p>
          <w:p w:rsidR="00F235D5" w:rsidRDefault="00F235D5" w:rsidP="00F235D5">
            <w:pPr>
              <w:autoSpaceDE w:val="0"/>
              <w:autoSpaceDN w:val="0"/>
              <w:adjustRightInd w:val="0"/>
              <w:rPr>
                <w:rFonts w:cs="Calibri"/>
              </w:rPr>
            </w:pPr>
            <w:r w:rsidRPr="00F235D5">
              <w:rPr>
                <w:rFonts w:cs="Calibri"/>
              </w:rPr>
              <w:t xml:space="preserve">5. Acts of Omission or Commission </w:t>
            </w:r>
          </w:p>
          <w:p w:rsidR="00F235D5" w:rsidRDefault="00F235D5" w:rsidP="00E0151B">
            <w:r>
              <w:rPr>
                <w:rFonts w:asciiTheme="minorHAnsi" w:eastAsia="Times New Roman" w:hAnsiTheme="minorHAnsi" w:cstheme="minorHAnsi"/>
                <w:color w:val="303030"/>
                <w:lang w:eastAsia="en-GB"/>
              </w:rPr>
              <w:t>Please familiarise yoursel</w:t>
            </w:r>
            <w:r w:rsidR="00E0151B">
              <w:rPr>
                <w:rFonts w:asciiTheme="minorHAnsi" w:eastAsia="Times New Roman" w:hAnsiTheme="minorHAnsi" w:cstheme="minorHAnsi"/>
                <w:color w:val="303030"/>
                <w:lang w:eastAsia="en-GB"/>
              </w:rPr>
              <w:t xml:space="preserve">f with this document. </w:t>
            </w:r>
            <w:hyperlink r:id="rId17" w:history="1">
              <w:r>
                <w:rPr>
                  <w:rStyle w:val="Hyperlink"/>
                  <w:rFonts w:asciiTheme="minorHAnsi" w:eastAsia="Times New Roman" w:hAnsiTheme="minorHAnsi" w:cstheme="minorHAnsi"/>
                  <w:lang w:eastAsia="en-GB"/>
                </w:rPr>
                <w:t xml:space="preserve">7 </w:t>
              </w:r>
              <w:r w:rsidRPr="00F235D5">
                <w:rPr>
                  <w:rStyle w:val="Hyperlink"/>
                  <w:rFonts w:asciiTheme="minorHAnsi" w:eastAsia="Times New Roman" w:hAnsiTheme="minorHAnsi" w:cstheme="minorHAnsi"/>
                  <w:lang w:eastAsia="en-GB"/>
                </w:rPr>
                <w:t>minute briefing</w:t>
              </w:r>
            </w:hyperlink>
            <w:r w:rsidRPr="00F235D5">
              <w:rPr>
                <w:rFonts w:asciiTheme="minorHAnsi" w:eastAsia="Times New Roman" w:hAnsiTheme="minorHAnsi" w:cstheme="minorHAnsi"/>
                <w:color w:val="303030"/>
                <w:lang w:eastAsia="en-GB"/>
              </w:rPr>
              <w:t xml:space="preserve"> resources are available for the Neglect Framework and Practice</w:t>
            </w:r>
            <w:r>
              <w:rPr>
                <w:rFonts w:asciiTheme="minorHAnsi" w:eastAsia="Times New Roman" w:hAnsiTheme="minorHAnsi" w:cstheme="minorHAnsi"/>
                <w:color w:val="303030"/>
                <w:lang w:eastAsia="en-GB"/>
              </w:rPr>
              <w:t xml:space="preserve"> Guidance and GCP2.  </w:t>
            </w:r>
          </w:p>
        </w:tc>
      </w:tr>
      <w:tr w:rsidR="00124607" w:rsidTr="00A844C0">
        <w:trPr>
          <w:trHeight w:val="80"/>
        </w:trPr>
        <w:tc>
          <w:tcPr>
            <w:tcW w:w="2873" w:type="dxa"/>
            <w:shd w:val="clear" w:color="auto" w:fill="C00000"/>
          </w:tcPr>
          <w:p w:rsidR="00075DCF" w:rsidRPr="00202E4E" w:rsidRDefault="00075DCF" w:rsidP="00A71802">
            <w:pPr>
              <w:jc w:val="center"/>
              <w:rPr>
                <w:b/>
                <w:color w:val="BF8F00" w:themeColor="accent4" w:themeShade="BF"/>
                <w:sz w:val="2"/>
              </w:rPr>
            </w:pPr>
          </w:p>
        </w:tc>
        <w:tc>
          <w:tcPr>
            <w:tcW w:w="7612" w:type="dxa"/>
            <w:shd w:val="clear" w:color="auto" w:fill="C00000"/>
            <w:vAlign w:val="center"/>
          </w:tcPr>
          <w:p w:rsidR="00075DCF" w:rsidRPr="00202E4E" w:rsidRDefault="00075DCF" w:rsidP="00A71802">
            <w:pPr>
              <w:rPr>
                <w:sz w:val="8"/>
              </w:rPr>
            </w:pPr>
          </w:p>
        </w:tc>
      </w:tr>
      <w:tr w:rsidR="00124607" w:rsidTr="0079648B">
        <w:trPr>
          <w:trHeight w:val="2821"/>
        </w:trPr>
        <w:tc>
          <w:tcPr>
            <w:tcW w:w="2873" w:type="dxa"/>
          </w:tcPr>
          <w:p w:rsidR="00A14909" w:rsidRDefault="00A14909" w:rsidP="008322E0">
            <w:pPr>
              <w:jc w:val="center"/>
              <w:rPr>
                <w:rFonts w:ascii="Verdana" w:hAnsi="Verdana"/>
                <w:noProof/>
                <w:color w:val="108633"/>
                <w:sz w:val="23"/>
                <w:szCs w:val="23"/>
              </w:rPr>
            </w:pPr>
          </w:p>
          <w:p w:rsidR="00DA14AB" w:rsidRDefault="00DA14AB" w:rsidP="008322E0">
            <w:pPr>
              <w:jc w:val="center"/>
              <w:rPr>
                <w:rFonts w:ascii="Verdana" w:hAnsi="Verdana"/>
                <w:noProof/>
                <w:color w:val="108633"/>
                <w:sz w:val="23"/>
                <w:szCs w:val="23"/>
              </w:rPr>
            </w:pPr>
          </w:p>
          <w:p w:rsidR="00DA14AB" w:rsidRPr="008322E0" w:rsidRDefault="00DA14AB" w:rsidP="008322E0">
            <w:pPr>
              <w:jc w:val="center"/>
            </w:pPr>
            <w:r>
              <w:rPr>
                <w:rFonts w:ascii="Verdana" w:hAnsi="Verdana"/>
                <w:noProof/>
                <w:color w:val="108633"/>
                <w:sz w:val="23"/>
                <w:szCs w:val="23"/>
                <w:lang w:eastAsia="en-GB"/>
              </w:rPr>
              <w:drawing>
                <wp:inline distT="0" distB="0" distL="0" distR="0" wp14:anchorId="04E6CD97" wp14:editId="2569D74C">
                  <wp:extent cx="1485900" cy="749300"/>
                  <wp:effectExtent l="0" t="0" r="0" b="0"/>
                  <wp:docPr id="6" name="Picture 6" descr="NSPC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CC">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749300"/>
                          </a:xfrm>
                          <a:prstGeom prst="rect">
                            <a:avLst/>
                          </a:prstGeom>
                          <a:noFill/>
                          <a:ln>
                            <a:noFill/>
                          </a:ln>
                        </pic:spPr>
                      </pic:pic>
                    </a:graphicData>
                  </a:graphic>
                </wp:inline>
              </w:drawing>
            </w:r>
          </w:p>
        </w:tc>
        <w:tc>
          <w:tcPr>
            <w:tcW w:w="7612" w:type="dxa"/>
          </w:tcPr>
          <w:p w:rsidR="00124607" w:rsidRDefault="00371CD5" w:rsidP="007C4EE6">
            <w:pPr>
              <w:autoSpaceDE w:val="0"/>
              <w:autoSpaceDN w:val="0"/>
              <w:adjustRightInd w:val="0"/>
              <w:rPr>
                <w:rFonts w:asciiTheme="minorHAnsi" w:hAnsiTheme="minorHAnsi" w:cstheme="minorHAnsi"/>
                <w:lang w:eastAsia="en-GB"/>
              </w:rPr>
            </w:pPr>
            <w:r w:rsidRPr="00DA14AB">
              <w:rPr>
                <w:rFonts w:asciiTheme="minorHAnsi" w:hAnsiTheme="minorHAnsi" w:cstheme="minorHAnsi"/>
                <w:lang w:eastAsia="en-GB"/>
              </w:rPr>
              <w:t>Selection of interesting reports</w:t>
            </w:r>
            <w:r w:rsidRPr="00441E40">
              <w:rPr>
                <w:rFonts w:asciiTheme="minorHAnsi" w:hAnsiTheme="minorHAnsi" w:cstheme="minorHAnsi"/>
                <w:lang w:eastAsia="en-GB"/>
              </w:rPr>
              <w:t>/information i</w:t>
            </w:r>
            <w:r w:rsidRPr="00DA14AB">
              <w:rPr>
                <w:rFonts w:asciiTheme="minorHAnsi" w:hAnsiTheme="minorHAnsi" w:cstheme="minorHAnsi"/>
                <w:lang w:eastAsia="en-GB"/>
              </w:rPr>
              <w:t xml:space="preserve">ncluding: </w:t>
            </w:r>
          </w:p>
          <w:p w:rsidR="008322E0" w:rsidRPr="00441E40" w:rsidRDefault="00371CD5" w:rsidP="007C4EE6">
            <w:pPr>
              <w:autoSpaceDE w:val="0"/>
              <w:autoSpaceDN w:val="0"/>
              <w:adjustRightInd w:val="0"/>
              <w:rPr>
                <w:rFonts w:asciiTheme="minorHAnsi" w:hAnsiTheme="minorHAnsi" w:cstheme="minorHAnsi"/>
                <w:lang w:eastAsia="en-GB"/>
              </w:rPr>
            </w:pPr>
            <w:r w:rsidRPr="00441E40">
              <w:rPr>
                <w:rFonts w:asciiTheme="minorHAnsi" w:eastAsia="Times New Roman" w:hAnsiTheme="minorHAnsi" w:cstheme="minorHAnsi"/>
                <w:b/>
                <w:bCs/>
                <w:lang w:eastAsia="en-GB"/>
              </w:rPr>
              <w:t>Domestic abuse</w:t>
            </w:r>
            <w:r w:rsidRPr="00441E40">
              <w:rPr>
                <w:rFonts w:asciiTheme="minorHAnsi" w:eastAsia="Times New Roman" w:hAnsiTheme="minorHAnsi" w:cstheme="minorHAnsi"/>
                <w:bCs/>
                <w:lang w:eastAsia="en-GB"/>
              </w:rPr>
              <w:t xml:space="preserve">: </w:t>
            </w:r>
            <w:hyperlink r:id="rId20" w:history="1">
              <w:r w:rsidRPr="00441E40">
                <w:rPr>
                  <w:rFonts w:asciiTheme="minorHAnsi" w:eastAsia="Times New Roman" w:hAnsiTheme="minorHAnsi" w:cstheme="minorHAnsi"/>
                  <w:u w:val="single"/>
                  <w:lang w:eastAsia="en-GB"/>
                </w:rPr>
                <w:t>evaluation</w:t>
              </w:r>
            </w:hyperlink>
            <w:r w:rsidRPr="00441E40">
              <w:rPr>
                <w:rFonts w:asciiTheme="minorHAnsi" w:eastAsia="Times New Roman" w:hAnsiTheme="minorHAnsi" w:cstheme="minorHAnsi"/>
                <w:bCs/>
                <w:lang w:eastAsia="en-GB"/>
              </w:rPr>
              <w:t xml:space="preserve"> and </w:t>
            </w:r>
            <w:hyperlink r:id="rId21" w:history="1">
              <w:r w:rsidRPr="00441E40">
                <w:rPr>
                  <w:rFonts w:asciiTheme="minorHAnsi" w:eastAsia="Times New Roman" w:hAnsiTheme="minorHAnsi" w:cstheme="minorHAnsi"/>
                  <w:u w:val="single"/>
                  <w:lang w:eastAsia="en-GB"/>
                </w:rPr>
                <w:t>podcast</w:t>
              </w:r>
            </w:hyperlink>
            <w:r w:rsidRPr="00441E40">
              <w:rPr>
                <w:rFonts w:asciiTheme="minorHAnsi" w:eastAsia="Times New Roman" w:hAnsiTheme="minorHAnsi" w:cstheme="minorHAnsi"/>
                <w:bCs/>
                <w:lang w:eastAsia="en-GB"/>
              </w:rPr>
              <w:t xml:space="preserve"> of how </w:t>
            </w:r>
            <w:r w:rsidRPr="00441E40">
              <w:rPr>
                <w:rFonts w:asciiTheme="minorHAnsi" w:hAnsiTheme="minorHAnsi" w:cstheme="minorHAnsi"/>
                <w:lang w:eastAsia="en-GB"/>
              </w:rPr>
              <w:t>the NSPCC supports organisations to deliver the Domestic Abuse</w:t>
            </w:r>
            <w:r w:rsidRPr="00441E40">
              <w:rPr>
                <w:rFonts w:asciiTheme="minorHAnsi" w:hAnsiTheme="minorHAnsi" w:cstheme="minorHAnsi"/>
                <w:b/>
                <w:lang w:eastAsia="en-GB"/>
              </w:rPr>
              <w:t>,</w:t>
            </w:r>
            <w:r w:rsidRPr="00441E40">
              <w:rPr>
                <w:rFonts w:asciiTheme="minorHAnsi" w:hAnsiTheme="minorHAnsi" w:cstheme="minorHAnsi"/>
                <w:lang w:eastAsia="en-GB"/>
              </w:rPr>
              <w:t xml:space="preserve"> Recovering Together (DART) programme that aims to improve outcomes for mothers and their children following domestic abuse.</w:t>
            </w:r>
          </w:p>
          <w:p w:rsidR="00371CD5" w:rsidRDefault="00371CD5" w:rsidP="00371CD5">
            <w:pPr>
              <w:spacing w:line="150" w:lineRule="atLeast"/>
              <w:rPr>
                <w:rFonts w:asciiTheme="minorHAnsi" w:hAnsiTheme="minorHAnsi" w:cstheme="minorHAnsi"/>
                <w:lang w:eastAsia="en-GB"/>
              </w:rPr>
            </w:pPr>
            <w:r w:rsidRPr="00441E40">
              <w:rPr>
                <w:rFonts w:asciiTheme="minorHAnsi" w:eastAsia="Times New Roman" w:hAnsiTheme="minorHAnsi" w:cstheme="minorHAnsi"/>
                <w:b/>
                <w:bCs/>
                <w:lang w:eastAsia="en-GB"/>
              </w:rPr>
              <w:t>Speak out Stay safe:</w:t>
            </w:r>
            <w:r w:rsidRPr="00441E40">
              <w:rPr>
                <w:rFonts w:asciiTheme="minorHAnsi" w:eastAsia="Times New Roman" w:hAnsiTheme="minorHAnsi" w:cstheme="minorHAnsi"/>
                <w:bCs/>
                <w:lang w:eastAsia="en-GB"/>
              </w:rPr>
              <w:t xml:space="preserve"> </w:t>
            </w:r>
            <w:r w:rsidRPr="00441E40">
              <w:rPr>
                <w:rFonts w:asciiTheme="minorHAnsi" w:eastAsia="Times New Roman" w:hAnsiTheme="minorHAnsi" w:cstheme="minorHAnsi"/>
                <w:b/>
                <w:bCs/>
                <w:lang w:eastAsia="en-GB"/>
              </w:rPr>
              <w:t>online version</w:t>
            </w:r>
            <w:r w:rsidRPr="00441E40">
              <w:rPr>
                <w:rFonts w:asciiTheme="minorHAnsi" w:eastAsia="Times New Roman" w:hAnsiTheme="minorHAnsi" w:cstheme="minorHAnsi"/>
                <w:bCs/>
                <w:lang w:eastAsia="en-GB"/>
              </w:rPr>
              <w:t xml:space="preserve"> </w:t>
            </w:r>
            <w:r w:rsidRPr="00371CD5">
              <w:rPr>
                <w:rFonts w:asciiTheme="minorHAnsi" w:hAnsiTheme="minorHAnsi" w:cstheme="minorHAnsi"/>
                <w:lang w:eastAsia="en-GB"/>
              </w:rPr>
              <w:t xml:space="preserve">NSPCC Learning has launched an online version of the </w:t>
            </w:r>
            <w:hyperlink r:id="rId22" w:history="1">
              <w:r w:rsidRPr="00441E40">
                <w:rPr>
                  <w:rFonts w:asciiTheme="minorHAnsi" w:hAnsiTheme="minorHAnsi" w:cstheme="minorHAnsi"/>
                  <w:u w:val="single"/>
                  <w:lang w:eastAsia="en-GB"/>
                </w:rPr>
                <w:t>Speak out Stay Safe</w:t>
              </w:r>
            </w:hyperlink>
            <w:r w:rsidRPr="00371CD5">
              <w:rPr>
                <w:rFonts w:asciiTheme="minorHAnsi" w:hAnsiTheme="minorHAnsi" w:cstheme="minorHAnsi"/>
                <w:lang w:eastAsia="en-GB"/>
              </w:rPr>
              <w:t xml:space="preserve"> school assembly for children aged 5- to 11-years-old. </w:t>
            </w:r>
          </w:p>
          <w:p w:rsidR="00371CD5" w:rsidRPr="001F2EB1" w:rsidRDefault="00BC3FCC" w:rsidP="001F2EB1">
            <w:pPr>
              <w:rPr>
                <w:rFonts w:asciiTheme="minorHAnsi" w:hAnsiTheme="minorHAnsi" w:cstheme="minorHAnsi"/>
              </w:rPr>
            </w:pPr>
            <w:hyperlink r:id="rId23" w:history="1">
              <w:r w:rsidR="00371CD5" w:rsidRPr="00441E40">
                <w:rPr>
                  <w:rStyle w:val="Hyperlink"/>
                  <w:b/>
                  <w:color w:val="auto"/>
                </w:rPr>
                <w:t>NSPCC Child Protection in Sport Unit’s (CPSU)</w:t>
              </w:r>
            </w:hyperlink>
            <w:r w:rsidR="00371CD5" w:rsidRPr="00441E40">
              <w:t xml:space="preserve"> annual campaign to raise awareness of the importance of parents' involvement in youth sport is 5-11 O</w:t>
            </w:r>
            <w:r w:rsidR="00371CD5" w:rsidRPr="001F2EB1">
              <w:rPr>
                <w:rFonts w:asciiTheme="minorHAnsi" w:hAnsiTheme="minorHAnsi" w:cstheme="minorHAnsi"/>
              </w:rPr>
              <w:t>ctober 2020. The theme is ‘Let’s talk about keeping children safe in sport’.</w:t>
            </w:r>
          </w:p>
          <w:p w:rsidR="00371CD5" w:rsidRDefault="00BC3FCC" w:rsidP="001F2EB1">
            <w:pPr>
              <w:outlineLvl w:val="4"/>
              <w:rPr>
                <w:rFonts w:asciiTheme="minorHAnsi" w:hAnsiTheme="minorHAnsi" w:cstheme="minorHAnsi"/>
                <w:lang w:eastAsia="en-GB"/>
              </w:rPr>
            </w:pPr>
            <w:hyperlink r:id="rId24" w:history="1">
              <w:r w:rsidR="00371CD5" w:rsidRPr="001F2EB1">
                <w:rPr>
                  <w:rFonts w:asciiTheme="minorHAnsi" w:eastAsia="Times New Roman" w:hAnsiTheme="minorHAnsi" w:cstheme="minorHAnsi"/>
                  <w:b/>
                  <w:u w:val="single"/>
                  <w:lang w:eastAsia="en-GB"/>
                </w:rPr>
                <w:t>Coronavirus: young carers returning to school</w:t>
              </w:r>
            </w:hyperlink>
            <w:r w:rsidR="00371CD5" w:rsidRPr="001F2EB1">
              <w:rPr>
                <w:rFonts w:asciiTheme="minorHAnsi" w:eastAsia="Times New Roman" w:hAnsiTheme="minorHAnsi" w:cstheme="minorHAnsi"/>
                <w:b/>
                <w:bCs/>
                <w:lang w:eastAsia="en-GB"/>
              </w:rPr>
              <w:t xml:space="preserve"> </w:t>
            </w:r>
            <w:r w:rsidR="00371CD5" w:rsidRPr="00371CD5">
              <w:rPr>
                <w:rFonts w:asciiTheme="minorHAnsi" w:hAnsiTheme="minorHAnsi" w:cstheme="minorHAnsi"/>
                <w:lang w:eastAsia="en-GB"/>
              </w:rPr>
              <w:t xml:space="preserve">The Children’s Society and the Carers Trust have </w:t>
            </w:r>
            <w:hyperlink r:id="rId25" w:history="1">
              <w:r w:rsidR="00371CD5" w:rsidRPr="001F2EB1">
                <w:rPr>
                  <w:rStyle w:val="Hyperlink"/>
                  <w:rFonts w:asciiTheme="minorHAnsi" w:hAnsiTheme="minorHAnsi" w:cstheme="minorHAnsi"/>
                  <w:lang w:eastAsia="en-GB"/>
                </w:rPr>
                <w:t>published guidance</w:t>
              </w:r>
            </w:hyperlink>
            <w:r w:rsidR="00371CD5" w:rsidRPr="00371CD5">
              <w:rPr>
                <w:rFonts w:asciiTheme="minorHAnsi" w:hAnsiTheme="minorHAnsi" w:cstheme="minorHAnsi"/>
                <w:lang w:eastAsia="en-GB"/>
              </w:rPr>
              <w:t xml:space="preserve"> for teachers to support to young carers as they return to school.</w:t>
            </w:r>
          </w:p>
          <w:p w:rsidR="001F2EB1" w:rsidRDefault="001F2EB1" w:rsidP="001F2EB1">
            <w:pPr>
              <w:outlineLvl w:val="4"/>
              <w:rPr>
                <w:rFonts w:asciiTheme="minorHAnsi" w:hAnsiTheme="minorHAnsi" w:cstheme="minorHAnsi"/>
                <w:lang w:eastAsia="en-GB"/>
              </w:rPr>
            </w:pPr>
            <w:r w:rsidRPr="001F2EB1">
              <w:rPr>
                <w:rFonts w:asciiTheme="minorHAnsi" w:eastAsia="Times New Roman" w:hAnsiTheme="minorHAnsi" w:cstheme="minorHAnsi"/>
                <w:b/>
                <w:bCs/>
                <w:lang w:eastAsia="en-GB"/>
              </w:rPr>
              <w:t xml:space="preserve">Self-harm: </w:t>
            </w:r>
            <w:r w:rsidRPr="001F2EB1">
              <w:rPr>
                <w:rFonts w:asciiTheme="minorHAnsi" w:hAnsiTheme="minorHAnsi" w:cstheme="minorHAnsi"/>
                <w:lang w:eastAsia="en-GB"/>
              </w:rPr>
              <w:t xml:space="preserve">The All-Party Parliamentary Group on suicide/self-harm prevention has published findings from an inquiry exploring the experiences of young people up to 25 years who self-harm in accessing support services in England. </w:t>
            </w:r>
            <w:r w:rsidR="00602CD6" w:rsidRPr="00602CD6">
              <w:rPr>
                <w:rFonts w:asciiTheme="minorHAnsi" w:hAnsiTheme="minorHAnsi" w:cstheme="minorHAnsi"/>
                <w:b/>
                <w:lang w:eastAsia="en-GB"/>
              </w:rPr>
              <w:t>R</w:t>
            </w:r>
            <w:r w:rsidRPr="00602CD6">
              <w:rPr>
                <w:rFonts w:asciiTheme="minorHAnsi" w:hAnsiTheme="minorHAnsi" w:cstheme="minorHAnsi"/>
                <w:b/>
                <w:lang w:eastAsia="en-GB"/>
              </w:rPr>
              <w:t>ecommendations:</w:t>
            </w:r>
            <w:r w:rsidR="00602CD6">
              <w:rPr>
                <w:rFonts w:asciiTheme="minorHAnsi" w:hAnsiTheme="minorHAnsi" w:cstheme="minorHAnsi"/>
                <w:lang w:eastAsia="en-GB"/>
              </w:rPr>
              <w:t xml:space="preserve"> </w:t>
            </w:r>
            <w:r w:rsidRPr="001F2EB1">
              <w:rPr>
                <w:rFonts w:asciiTheme="minorHAnsi" w:hAnsiTheme="minorHAnsi" w:cstheme="minorHAnsi"/>
                <w:lang w:eastAsia="en-GB"/>
              </w:rPr>
              <w:t xml:space="preserve">Government should implement a new system of early intervention to support young people; Department for Education (DfE) should provide schools/colleges with increased mental health resources sooner so they are able to undertake preventative interventions more consistently. Click </w:t>
            </w:r>
            <w:hyperlink r:id="rId26" w:history="1">
              <w:r w:rsidRPr="001F2EB1">
                <w:rPr>
                  <w:rFonts w:asciiTheme="minorHAnsi" w:hAnsiTheme="minorHAnsi" w:cstheme="minorHAnsi"/>
                  <w:u w:val="single"/>
                  <w:lang w:eastAsia="en-GB"/>
                </w:rPr>
                <w:t>here to read the report</w:t>
              </w:r>
            </w:hyperlink>
            <w:r w:rsidRPr="001F2EB1">
              <w:rPr>
                <w:rFonts w:asciiTheme="minorHAnsi" w:hAnsiTheme="minorHAnsi" w:cstheme="minorHAnsi"/>
                <w:lang w:eastAsia="en-GB"/>
              </w:rPr>
              <w:t>.</w:t>
            </w:r>
          </w:p>
          <w:p w:rsidR="00371CD5" w:rsidRDefault="00602CD6" w:rsidP="00371CD5">
            <w:pPr>
              <w:spacing w:line="150" w:lineRule="atLeast"/>
              <w:rPr>
                <w:rFonts w:asciiTheme="minorHAnsi" w:hAnsiTheme="minorHAnsi" w:cstheme="minorHAnsi"/>
                <w:lang w:eastAsia="en-GB"/>
              </w:rPr>
            </w:pPr>
            <w:r w:rsidRPr="00602CD6">
              <w:rPr>
                <w:rFonts w:asciiTheme="minorHAnsi" w:eastAsia="Times New Roman" w:hAnsiTheme="minorHAnsi" w:cstheme="minorHAnsi"/>
                <w:b/>
                <w:bCs/>
                <w:lang w:eastAsia="en-GB"/>
              </w:rPr>
              <w:t>Youth justice:</w:t>
            </w:r>
            <w:r w:rsidRPr="00602CD6">
              <w:rPr>
                <w:rFonts w:asciiTheme="minorHAnsi" w:hAnsiTheme="minorHAnsi" w:cstheme="minorHAnsi"/>
                <w:lang w:eastAsia="en-GB"/>
              </w:rPr>
              <w:t xml:space="preserve"> National Association for Youth Justice has </w:t>
            </w:r>
            <w:hyperlink r:id="rId27" w:history="1">
              <w:r w:rsidRPr="00602CD6">
                <w:rPr>
                  <w:rFonts w:asciiTheme="minorHAnsi" w:hAnsiTheme="minorHAnsi" w:cstheme="minorHAnsi"/>
                  <w:u w:val="single"/>
                  <w:lang w:eastAsia="en-GB"/>
                </w:rPr>
                <w:t>published a report</w:t>
              </w:r>
            </w:hyperlink>
            <w:r w:rsidRPr="00602CD6">
              <w:rPr>
                <w:rFonts w:asciiTheme="minorHAnsi" w:hAnsiTheme="minorHAnsi" w:cstheme="minorHAnsi"/>
                <w:lang w:eastAsia="en-GB"/>
              </w:rPr>
              <w:t xml:space="preserve"> looking at all aspects of the youth justice system including trends in youth crime, courts and sentencing, custody and inequalities in the system's treatment of children. The report expresses concern that the recommendations of the Taylor Review of the Youth Justice System in England and Wales published in 2016 appear not to have been acted on.</w:t>
            </w:r>
          </w:p>
          <w:p w:rsidR="00A2739D" w:rsidRDefault="00602CD6" w:rsidP="00124607">
            <w:pPr>
              <w:outlineLvl w:val="4"/>
            </w:pPr>
            <w:r w:rsidRPr="00602CD6">
              <w:rPr>
                <w:rFonts w:asciiTheme="minorHAnsi" w:eastAsia="Times New Roman" w:hAnsiTheme="minorHAnsi" w:cstheme="minorHAnsi"/>
                <w:b/>
                <w:bCs/>
                <w:lang w:eastAsia="en-GB"/>
              </w:rPr>
              <w:t xml:space="preserve">Youth violence: </w:t>
            </w:r>
            <w:r w:rsidRPr="00602CD6">
              <w:rPr>
                <w:rFonts w:asciiTheme="minorHAnsi" w:eastAsia="Times New Roman" w:hAnsiTheme="minorHAnsi" w:cstheme="minorHAnsi"/>
                <w:bCs/>
                <w:lang w:eastAsia="en-GB"/>
              </w:rPr>
              <w:t>P</w:t>
            </w:r>
            <w:r w:rsidRPr="00602CD6">
              <w:rPr>
                <w:rFonts w:asciiTheme="minorHAnsi" w:hAnsiTheme="minorHAnsi" w:cstheme="minorHAnsi"/>
                <w:lang w:eastAsia="en-GB"/>
              </w:rPr>
              <w:t xml:space="preserve">ower the Fight, a charity working to end youth violence, has </w:t>
            </w:r>
            <w:hyperlink r:id="rId28" w:history="1">
              <w:r w:rsidRPr="00602CD6">
                <w:rPr>
                  <w:rFonts w:asciiTheme="minorHAnsi" w:hAnsiTheme="minorHAnsi" w:cstheme="minorHAnsi"/>
                  <w:u w:val="single"/>
                  <w:lang w:eastAsia="en-GB"/>
                </w:rPr>
                <w:t>published a report</w:t>
              </w:r>
            </w:hyperlink>
            <w:r w:rsidRPr="00602CD6">
              <w:rPr>
                <w:rFonts w:asciiTheme="minorHAnsi" w:hAnsiTheme="minorHAnsi" w:cstheme="minorHAnsi"/>
                <w:lang w:eastAsia="en-GB"/>
              </w:rPr>
              <w:t xml:space="preserve"> looking at the effectiveness of therapeutic responses to violence affecting young people in London. Findings from </w:t>
            </w:r>
            <w:r w:rsidR="002E5F4F">
              <w:rPr>
                <w:rFonts w:asciiTheme="minorHAnsi" w:hAnsiTheme="minorHAnsi" w:cstheme="minorHAnsi"/>
                <w:lang w:eastAsia="en-GB"/>
              </w:rPr>
              <w:t xml:space="preserve">the </w:t>
            </w:r>
            <w:r w:rsidRPr="00602CD6">
              <w:rPr>
                <w:rFonts w:asciiTheme="minorHAnsi" w:hAnsiTheme="minorHAnsi" w:cstheme="minorHAnsi"/>
                <w:lang w:eastAsia="en-GB"/>
              </w:rPr>
              <w:t xml:space="preserve">analysis </w:t>
            </w:r>
            <w:r>
              <w:rPr>
                <w:rFonts w:asciiTheme="minorHAnsi" w:hAnsiTheme="minorHAnsi" w:cstheme="minorHAnsi"/>
                <w:lang w:eastAsia="en-GB"/>
              </w:rPr>
              <w:t xml:space="preserve">of </w:t>
            </w:r>
            <w:r w:rsidRPr="00602CD6">
              <w:rPr>
                <w:rFonts w:asciiTheme="minorHAnsi" w:hAnsiTheme="minorHAnsi" w:cstheme="minorHAnsi"/>
                <w:lang w:eastAsia="en-GB"/>
              </w:rPr>
              <w:t>community experiences of therapeutic services include: therapeutic services that fail to understand the broader contexts and causes of youth violence risk harming young people further by making them feel they are the problem</w:t>
            </w:r>
            <w:r>
              <w:rPr>
                <w:rFonts w:asciiTheme="minorHAnsi" w:hAnsiTheme="minorHAnsi" w:cstheme="minorHAnsi"/>
                <w:lang w:eastAsia="en-GB"/>
              </w:rPr>
              <w:t>. T</w:t>
            </w:r>
            <w:r w:rsidRPr="00602CD6">
              <w:rPr>
                <w:rFonts w:asciiTheme="minorHAnsi" w:hAnsiTheme="minorHAnsi" w:cstheme="minorHAnsi"/>
                <w:lang w:eastAsia="en-GB"/>
              </w:rPr>
              <w:t>he language and culture of formal therapy can be a barrier for engagement with practitioners; and the specific needs of women and girls in the context of community violence have been side-lined by male-focused interventions.</w:t>
            </w:r>
          </w:p>
        </w:tc>
      </w:tr>
      <w:tr w:rsidR="00124607" w:rsidTr="00A844C0">
        <w:trPr>
          <w:trHeight w:val="80"/>
        </w:trPr>
        <w:tc>
          <w:tcPr>
            <w:tcW w:w="2873" w:type="dxa"/>
            <w:shd w:val="clear" w:color="auto" w:fill="538135" w:themeFill="accent6" w:themeFillShade="BF"/>
          </w:tcPr>
          <w:p w:rsidR="00202E4E" w:rsidRPr="00202E4E" w:rsidRDefault="00202E4E" w:rsidP="00A71802">
            <w:pPr>
              <w:jc w:val="center"/>
              <w:rPr>
                <w:b/>
                <w:color w:val="BF8F00" w:themeColor="accent4" w:themeShade="BF"/>
                <w:sz w:val="2"/>
              </w:rPr>
            </w:pPr>
          </w:p>
        </w:tc>
        <w:tc>
          <w:tcPr>
            <w:tcW w:w="7612" w:type="dxa"/>
            <w:shd w:val="clear" w:color="auto" w:fill="538135" w:themeFill="accent6" w:themeFillShade="BF"/>
            <w:vAlign w:val="center"/>
          </w:tcPr>
          <w:p w:rsidR="00202E4E" w:rsidRPr="00202E4E" w:rsidRDefault="00202E4E" w:rsidP="00A71802">
            <w:pPr>
              <w:rPr>
                <w:sz w:val="8"/>
              </w:rPr>
            </w:pPr>
          </w:p>
        </w:tc>
      </w:tr>
      <w:tr w:rsidR="00124607" w:rsidTr="0081289C">
        <w:trPr>
          <w:trHeight w:val="2387"/>
        </w:trPr>
        <w:tc>
          <w:tcPr>
            <w:tcW w:w="2873" w:type="dxa"/>
            <w:vAlign w:val="center"/>
          </w:tcPr>
          <w:p w:rsidR="0061692A" w:rsidRPr="00E47E48" w:rsidRDefault="003C1A91" w:rsidP="0061692A">
            <w:pPr>
              <w:jc w:val="center"/>
              <w:rPr>
                <w:rFonts w:asciiTheme="minorHAnsi" w:hAnsiTheme="minorHAnsi" w:cstheme="minorHAnsi"/>
                <w:b/>
                <w:noProof/>
                <w:spacing w:val="-9"/>
                <w:sz w:val="36"/>
                <w:szCs w:val="36"/>
                <w:lang w:eastAsia="en-GB"/>
              </w:rPr>
            </w:pPr>
            <w:r w:rsidRPr="00E47E48">
              <w:rPr>
                <w:rFonts w:asciiTheme="minorHAnsi" w:hAnsiTheme="minorHAnsi" w:cstheme="minorHAnsi"/>
                <w:b/>
                <w:noProof/>
                <w:spacing w:val="-9"/>
                <w:sz w:val="36"/>
                <w:szCs w:val="36"/>
                <w:lang w:eastAsia="en-GB"/>
              </w:rPr>
              <w:lastRenderedPageBreak/>
              <w:t>Babies cry you can cope</w:t>
            </w:r>
          </w:p>
          <w:p w:rsidR="003C1A91" w:rsidRPr="00A13164" w:rsidRDefault="003C1A91" w:rsidP="0061692A">
            <w:pPr>
              <w:jc w:val="center"/>
              <w:rPr>
                <w:b/>
                <w:color w:val="00B0F0"/>
                <w:sz w:val="32"/>
              </w:rPr>
            </w:pPr>
            <w:r>
              <w:rPr>
                <w:rFonts w:ascii="&amp;quot" w:hAnsi="&amp;quot"/>
                <w:noProof/>
                <w:color w:val="7FBE65"/>
                <w:spacing w:val="-9"/>
                <w:sz w:val="27"/>
                <w:szCs w:val="27"/>
                <w:lang w:eastAsia="en-GB"/>
              </w:rPr>
              <w:drawing>
                <wp:inline distT="0" distB="0" distL="0" distR="0" wp14:anchorId="04B3BFFD" wp14:editId="7ED907E0">
                  <wp:extent cx="1424299" cy="508000"/>
                  <wp:effectExtent l="0" t="0" r="0" b="0"/>
                  <wp:docPr id="4" name="Picture 4" descr="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0671" cy="510273"/>
                          </a:xfrm>
                          <a:prstGeom prst="rect">
                            <a:avLst/>
                          </a:prstGeom>
                          <a:noFill/>
                          <a:ln>
                            <a:noFill/>
                          </a:ln>
                        </pic:spPr>
                      </pic:pic>
                    </a:graphicData>
                  </a:graphic>
                </wp:inline>
              </w:drawing>
            </w:r>
          </w:p>
        </w:tc>
        <w:tc>
          <w:tcPr>
            <w:tcW w:w="7612" w:type="dxa"/>
          </w:tcPr>
          <w:p w:rsidR="003C1A91" w:rsidRPr="00853BDC" w:rsidRDefault="00E47E48" w:rsidP="007C0049">
            <w:pPr>
              <w:rPr>
                <w:rFonts w:asciiTheme="minorHAnsi" w:eastAsia="Times New Roman" w:hAnsiTheme="minorHAnsi" w:cstheme="minorHAnsi"/>
                <w:spacing w:val="-9"/>
                <w:lang w:eastAsia="en-GB"/>
              </w:rPr>
            </w:pPr>
            <w:r w:rsidRPr="00853BDC">
              <w:rPr>
                <w:rFonts w:asciiTheme="minorHAnsi" w:hAnsiTheme="minorHAnsi" w:cstheme="minorHAnsi"/>
                <w:color w:val="111111"/>
              </w:rPr>
              <w:t xml:space="preserve">ICON is a programme that </w:t>
            </w:r>
            <w:r w:rsidRPr="00853BDC">
              <w:rPr>
                <w:rStyle w:val="Strong"/>
                <w:rFonts w:asciiTheme="minorHAnsi" w:hAnsiTheme="minorHAnsi" w:cstheme="minorHAnsi"/>
                <w:b w:val="0"/>
                <w:color w:val="111111"/>
              </w:rPr>
              <w:t>provides information about infant crying and how to cope</w:t>
            </w:r>
            <w:r w:rsidRPr="00853BDC">
              <w:rPr>
                <w:rFonts w:asciiTheme="minorHAnsi" w:hAnsiTheme="minorHAnsi" w:cstheme="minorHAnsi"/>
                <w:b/>
                <w:color w:val="111111"/>
              </w:rPr>
              <w:t xml:space="preserve">. </w:t>
            </w:r>
            <w:r w:rsidR="007C0049" w:rsidRPr="00853BDC">
              <w:rPr>
                <w:rFonts w:asciiTheme="minorHAnsi" w:eastAsia="Times New Roman" w:hAnsiTheme="minorHAnsi" w:cstheme="minorHAnsi"/>
                <w:color w:val="282828"/>
                <w:spacing w:val="-9"/>
                <w:lang w:eastAsia="en-GB"/>
              </w:rPr>
              <w:t xml:space="preserve">Abusive injury of babies is most common in the 6 to 12th weeks of life when it is normal for babies to cry a lot. </w:t>
            </w:r>
            <w:r w:rsidRPr="00853BDC">
              <w:rPr>
                <w:rFonts w:asciiTheme="minorHAnsi" w:eastAsia="Times New Roman" w:hAnsiTheme="minorHAnsi" w:cstheme="minorHAnsi"/>
                <w:color w:val="282828"/>
                <w:spacing w:val="-9"/>
                <w:lang w:eastAsia="en-GB"/>
              </w:rPr>
              <w:t xml:space="preserve"> </w:t>
            </w:r>
            <w:r w:rsidR="007C0049" w:rsidRPr="00853BDC">
              <w:rPr>
                <w:rFonts w:asciiTheme="minorHAnsi" w:eastAsia="Times New Roman" w:hAnsiTheme="minorHAnsi" w:cstheme="minorHAnsi"/>
                <w:color w:val="282828"/>
                <w:spacing w:val="-9"/>
                <w:lang w:eastAsia="en-GB"/>
              </w:rPr>
              <w:t xml:space="preserve">Simple, clear advice from </w:t>
            </w:r>
            <w:r w:rsidR="00DA14AB" w:rsidRPr="00853BDC">
              <w:rPr>
                <w:rFonts w:asciiTheme="minorHAnsi" w:eastAsia="Times New Roman" w:hAnsiTheme="minorHAnsi" w:cstheme="minorHAnsi"/>
                <w:color w:val="282828"/>
                <w:spacing w:val="-9"/>
                <w:lang w:eastAsia="en-GB"/>
              </w:rPr>
              <w:t xml:space="preserve">health care </w:t>
            </w:r>
            <w:r w:rsidR="007C0049" w:rsidRPr="00853BDC">
              <w:rPr>
                <w:rFonts w:asciiTheme="minorHAnsi" w:eastAsia="Times New Roman" w:hAnsiTheme="minorHAnsi" w:cstheme="minorHAnsi"/>
                <w:color w:val="282828"/>
                <w:spacing w:val="-9"/>
                <w:lang w:eastAsia="en-GB"/>
              </w:rPr>
              <w:t>professionals in the first days and weeks of a baby’s life can make a real difference by helping parents cope with the stress of crying. This has been proven to reduce the number of serious injuries and deaths in babies.</w:t>
            </w:r>
            <w:r w:rsidRPr="00853BDC">
              <w:rPr>
                <w:rFonts w:asciiTheme="minorHAnsi" w:eastAsia="Times New Roman" w:hAnsiTheme="minorHAnsi" w:cstheme="minorHAnsi"/>
                <w:color w:val="282828"/>
                <w:spacing w:val="-9"/>
                <w:lang w:eastAsia="en-GB"/>
              </w:rPr>
              <w:t xml:space="preserve">  </w:t>
            </w:r>
            <w:r w:rsidR="007C0049" w:rsidRPr="00853BDC">
              <w:rPr>
                <w:rFonts w:asciiTheme="minorHAnsi" w:eastAsia="Times New Roman" w:hAnsiTheme="minorHAnsi" w:cstheme="minorHAnsi"/>
                <w:color w:val="282828"/>
                <w:spacing w:val="-9"/>
                <w:lang w:eastAsia="en-GB"/>
              </w:rPr>
              <w:t>The ICON Programme is a useful resource for parents and professionals. It is about</w:t>
            </w:r>
            <w:r w:rsidR="003C1A91" w:rsidRPr="00853BDC">
              <w:rPr>
                <w:rFonts w:asciiTheme="minorHAnsi" w:eastAsia="Times New Roman" w:hAnsiTheme="minorHAnsi" w:cstheme="minorHAnsi"/>
                <w:color w:val="282828"/>
                <w:spacing w:val="-9"/>
                <w:lang w:eastAsia="en-GB"/>
              </w:rPr>
              <w:t xml:space="preserve"> </w:t>
            </w:r>
            <w:r w:rsidR="003C1A91" w:rsidRPr="00853BDC">
              <w:rPr>
                <w:rFonts w:asciiTheme="minorHAnsi" w:eastAsia="Times New Roman" w:hAnsiTheme="minorHAnsi" w:cstheme="minorHAnsi"/>
                <w:spacing w:val="-9"/>
                <w:lang w:eastAsia="en-GB"/>
              </w:rPr>
              <w:t>helping people who care for babies to cope with crying.</w:t>
            </w:r>
            <w:r w:rsidR="007C0049" w:rsidRPr="00853BDC">
              <w:rPr>
                <w:rFonts w:asciiTheme="minorHAnsi" w:eastAsia="Times New Roman" w:hAnsiTheme="minorHAnsi" w:cstheme="minorHAnsi"/>
                <w:spacing w:val="-9"/>
                <w:lang w:eastAsia="en-GB"/>
              </w:rPr>
              <w:t xml:space="preserve">  ICON stands for …</w:t>
            </w:r>
          </w:p>
          <w:p w:rsidR="003C1A91" w:rsidRPr="003C1A91" w:rsidRDefault="003C1A91" w:rsidP="007C0049">
            <w:pPr>
              <w:outlineLvl w:val="2"/>
              <w:rPr>
                <w:rFonts w:asciiTheme="minorHAnsi" w:eastAsia="Times New Roman" w:hAnsiTheme="minorHAnsi" w:cstheme="minorHAnsi"/>
                <w:b/>
                <w:bCs/>
                <w:spacing w:val="2"/>
                <w:lang w:eastAsia="en-GB"/>
              </w:rPr>
            </w:pPr>
            <w:r w:rsidRPr="003C1A91">
              <w:rPr>
                <w:rFonts w:asciiTheme="minorHAnsi" w:eastAsia="Times New Roman" w:hAnsiTheme="minorHAnsi" w:cstheme="minorHAnsi"/>
                <w:b/>
                <w:bCs/>
                <w:spacing w:val="2"/>
                <w:lang w:eastAsia="en-GB"/>
              </w:rPr>
              <w:t>I – Infant crying is normal</w:t>
            </w:r>
          </w:p>
          <w:p w:rsidR="007C0049" w:rsidRDefault="00BC3FCC" w:rsidP="007C0049">
            <w:pPr>
              <w:outlineLvl w:val="2"/>
              <w:rPr>
                <w:rFonts w:asciiTheme="minorHAnsi" w:eastAsia="Times New Roman" w:hAnsiTheme="minorHAnsi" w:cstheme="minorHAnsi"/>
                <w:b/>
                <w:bCs/>
                <w:spacing w:val="2"/>
                <w:lang w:eastAsia="en-GB"/>
              </w:rPr>
            </w:pPr>
            <w:hyperlink r:id="rId31" w:history="1">
              <w:r w:rsidR="003C1A91" w:rsidRPr="003C1A91">
                <w:rPr>
                  <w:rFonts w:asciiTheme="minorHAnsi" w:eastAsia="Times New Roman" w:hAnsiTheme="minorHAnsi" w:cstheme="minorHAnsi"/>
                  <w:b/>
                  <w:bCs/>
                  <w:spacing w:val="2"/>
                  <w:lang w:eastAsia="en-GB"/>
                </w:rPr>
                <w:t>C –Comforting methods can help</w:t>
              </w:r>
            </w:hyperlink>
          </w:p>
          <w:p w:rsidR="003C1A91" w:rsidRPr="003C1A91" w:rsidRDefault="003C1A91" w:rsidP="007C0049">
            <w:pPr>
              <w:outlineLvl w:val="2"/>
              <w:rPr>
                <w:rFonts w:asciiTheme="minorHAnsi" w:eastAsia="Times New Roman" w:hAnsiTheme="minorHAnsi" w:cstheme="minorHAnsi"/>
                <w:b/>
                <w:bCs/>
                <w:spacing w:val="2"/>
                <w:lang w:eastAsia="en-GB"/>
              </w:rPr>
            </w:pPr>
            <w:r w:rsidRPr="003C1A91">
              <w:rPr>
                <w:rFonts w:asciiTheme="minorHAnsi" w:eastAsia="Times New Roman" w:hAnsiTheme="minorHAnsi" w:cstheme="minorHAnsi"/>
                <w:b/>
                <w:bCs/>
                <w:spacing w:val="2"/>
                <w:lang w:eastAsia="en-GB"/>
              </w:rPr>
              <w:t>O – It’s OK to walk away</w:t>
            </w:r>
          </w:p>
          <w:p w:rsidR="003C1A91" w:rsidRDefault="003C1A91" w:rsidP="007C0049">
            <w:pPr>
              <w:outlineLvl w:val="2"/>
              <w:rPr>
                <w:rFonts w:asciiTheme="minorHAnsi" w:eastAsia="Times New Roman" w:hAnsiTheme="minorHAnsi" w:cstheme="minorHAnsi"/>
                <w:b/>
                <w:bCs/>
                <w:spacing w:val="2"/>
                <w:lang w:eastAsia="en-GB"/>
              </w:rPr>
            </w:pPr>
            <w:r w:rsidRPr="003C1A91">
              <w:rPr>
                <w:rFonts w:asciiTheme="minorHAnsi" w:eastAsia="Times New Roman" w:hAnsiTheme="minorHAnsi" w:cstheme="minorHAnsi"/>
                <w:b/>
                <w:bCs/>
                <w:spacing w:val="2"/>
                <w:lang w:eastAsia="en-GB"/>
              </w:rPr>
              <w:t>N – Never, ever shake a baby</w:t>
            </w:r>
          </w:p>
          <w:p w:rsidR="00124607" w:rsidRDefault="007C0049" w:rsidP="00853BDC">
            <w:pPr>
              <w:outlineLvl w:val="2"/>
            </w:pPr>
            <w:r w:rsidRPr="007C0049">
              <w:rPr>
                <w:rFonts w:asciiTheme="minorHAnsi" w:eastAsia="Times New Roman" w:hAnsiTheme="minorHAnsi" w:cstheme="minorHAnsi"/>
                <w:bCs/>
                <w:spacing w:val="2"/>
                <w:lang w:eastAsia="en-GB"/>
              </w:rPr>
              <w:t>For further information</w:t>
            </w:r>
            <w:r w:rsidR="00E47E48">
              <w:rPr>
                <w:rFonts w:asciiTheme="minorHAnsi" w:eastAsia="Times New Roman" w:hAnsiTheme="minorHAnsi" w:cstheme="minorHAnsi"/>
                <w:bCs/>
                <w:spacing w:val="2"/>
                <w:lang w:eastAsia="en-GB"/>
              </w:rPr>
              <w:t xml:space="preserve"> and access to resources</w:t>
            </w:r>
            <w:r w:rsidRPr="007C0049">
              <w:rPr>
                <w:rFonts w:asciiTheme="minorHAnsi" w:eastAsia="Times New Roman" w:hAnsiTheme="minorHAnsi" w:cstheme="minorHAnsi"/>
                <w:bCs/>
                <w:spacing w:val="2"/>
                <w:lang w:eastAsia="en-GB"/>
              </w:rPr>
              <w:t xml:space="preserve"> visit the </w:t>
            </w:r>
            <w:hyperlink r:id="rId32" w:history="1">
              <w:r w:rsidRPr="007C0049">
                <w:rPr>
                  <w:rStyle w:val="Hyperlink"/>
                  <w:rFonts w:asciiTheme="minorHAnsi" w:eastAsia="Times New Roman" w:hAnsiTheme="minorHAnsi" w:cstheme="minorHAnsi"/>
                  <w:bCs/>
                  <w:spacing w:val="2"/>
                  <w:lang w:eastAsia="en-GB"/>
                </w:rPr>
                <w:t>website</w:t>
              </w:r>
            </w:hyperlink>
          </w:p>
        </w:tc>
      </w:tr>
      <w:tr w:rsidR="00124607" w:rsidTr="00A844C0">
        <w:trPr>
          <w:trHeight w:val="80"/>
        </w:trPr>
        <w:tc>
          <w:tcPr>
            <w:tcW w:w="2873" w:type="dxa"/>
            <w:shd w:val="clear" w:color="auto" w:fill="00B0F0"/>
          </w:tcPr>
          <w:p w:rsidR="00202E4E" w:rsidRPr="00202E4E" w:rsidRDefault="00202E4E" w:rsidP="00A71802">
            <w:pPr>
              <w:jc w:val="center"/>
              <w:rPr>
                <w:b/>
                <w:color w:val="BF8F00" w:themeColor="accent4" w:themeShade="BF"/>
                <w:sz w:val="2"/>
              </w:rPr>
            </w:pPr>
          </w:p>
        </w:tc>
        <w:tc>
          <w:tcPr>
            <w:tcW w:w="7612" w:type="dxa"/>
            <w:shd w:val="clear" w:color="auto" w:fill="00B0F0"/>
            <w:vAlign w:val="center"/>
          </w:tcPr>
          <w:p w:rsidR="00202E4E" w:rsidRPr="00202E4E" w:rsidRDefault="00202E4E" w:rsidP="00A71802">
            <w:pPr>
              <w:rPr>
                <w:sz w:val="8"/>
              </w:rPr>
            </w:pPr>
          </w:p>
        </w:tc>
      </w:tr>
      <w:tr w:rsidR="00124607" w:rsidTr="0080302C">
        <w:trPr>
          <w:trHeight w:val="2313"/>
        </w:trPr>
        <w:tc>
          <w:tcPr>
            <w:tcW w:w="2873" w:type="dxa"/>
          </w:tcPr>
          <w:p w:rsidR="00A2739D" w:rsidRPr="0080302C" w:rsidRDefault="00A2739D" w:rsidP="00371CD5">
            <w:pPr>
              <w:spacing w:after="160" w:line="259" w:lineRule="auto"/>
              <w:jc w:val="center"/>
              <w:rPr>
                <w:rFonts w:ascii="Arial" w:hAnsi="Arial" w:cs="Arial"/>
                <w:b/>
                <w:color w:val="595959" w:themeColor="text1" w:themeTint="A6"/>
                <w:sz w:val="24"/>
                <w:szCs w:val="24"/>
              </w:rPr>
            </w:pPr>
            <w:r w:rsidRPr="0080302C">
              <w:rPr>
                <w:b/>
                <w:bCs/>
                <w:color w:val="C45911" w:themeColor="accent2" w:themeShade="BF"/>
                <w:sz w:val="24"/>
                <w:szCs w:val="24"/>
              </w:rPr>
              <w:t>Child Protection Conferences – Towards a Family Safeguarding Model</w:t>
            </w:r>
          </w:p>
          <w:p w:rsidR="00371CD5" w:rsidRPr="00D856FD" w:rsidRDefault="00371CD5" w:rsidP="00371CD5">
            <w:pPr>
              <w:spacing w:after="160" w:line="259" w:lineRule="auto"/>
              <w:jc w:val="center"/>
              <w:rPr>
                <w:b/>
                <w:color w:val="990033"/>
              </w:rPr>
            </w:pPr>
            <w:r w:rsidRPr="00DA14AB">
              <w:rPr>
                <w:b/>
                <w:noProof/>
                <w:color w:val="990033"/>
                <w:lang w:eastAsia="en-GB"/>
              </w:rPr>
              <w:drawing>
                <wp:inline distT="0" distB="0" distL="0" distR="0" wp14:anchorId="71431B3E" wp14:editId="47EB47E3">
                  <wp:extent cx="552169" cy="53754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479" cy="550500"/>
                          </a:xfrm>
                          <a:prstGeom prst="rect">
                            <a:avLst/>
                          </a:prstGeom>
                          <a:noFill/>
                          <a:ln>
                            <a:noFill/>
                          </a:ln>
                        </pic:spPr>
                      </pic:pic>
                    </a:graphicData>
                  </a:graphic>
                </wp:inline>
              </w:drawing>
            </w:r>
          </w:p>
        </w:tc>
        <w:tc>
          <w:tcPr>
            <w:tcW w:w="7612" w:type="dxa"/>
            <w:vAlign w:val="center"/>
          </w:tcPr>
          <w:p w:rsidR="00853BDC" w:rsidRDefault="0080302C" w:rsidP="0080302C">
            <w:r w:rsidRPr="0080302C">
              <w:t>As reported in issue 5, a more collaborative approach is required in Child Protection conferences, which will ensure that the family are at the centre of the meeting, and do not feel ‘done to’.  Families have many different levels of support and resilience and these need to be harnessed and used in a way that enables families and professionals to work to together, to agree what are the risks (harm) that need to be addressed and how and who is going to support the family with this. Some changes have been made to the CP conferences</w:t>
            </w:r>
            <w:hyperlink r:id="rId33" w:history="1">
              <w:r w:rsidRPr="0080302C">
                <w:rPr>
                  <w:rStyle w:val="Hyperlink"/>
                  <w:color w:val="auto"/>
                </w:rPr>
                <w:t>. A 7 minute brief</w:t>
              </w:r>
            </w:hyperlink>
            <w:r w:rsidRPr="0080302C">
              <w:t xml:space="preserve"> has been prepared to assist in staff briefings.  </w:t>
            </w:r>
          </w:p>
          <w:p w:rsidR="0080302C" w:rsidRPr="0080302C" w:rsidRDefault="0080302C" w:rsidP="0080302C"/>
        </w:tc>
      </w:tr>
      <w:tr w:rsidR="00124607" w:rsidTr="00A844C0">
        <w:trPr>
          <w:trHeight w:val="80"/>
        </w:trPr>
        <w:tc>
          <w:tcPr>
            <w:tcW w:w="2873" w:type="dxa"/>
            <w:shd w:val="clear" w:color="auto" w:fill="990033"/>
          </w:tcPr>
          <w:p w:rsidR="00371CD5" w:rsidRPr="00202E4E" w:rsidRDefault="00371CD5" w:rsidP="00371CD5">
            <w:pPr>
              <w:jc w:val="center"/>
              <w:rPr>
                <w:b/>
                <w:color w:val="BF8F00" w:themeColor="accent4" w:themeShade="BF"/>
                <w:sz w:val="2"/>
              </w:rPr>
            </w:pPr>
          </w:p>
        </w:tc>
        <w:tc>
          <w:tcPr>
            <w:tcW w:w="7612" w:type="dxa"/>
            <w:shd w:val="clear" w:color="auto" w:fill="990033"/>
            <w:vAlign w:val="center"/>
          </w:tcPr>
          <w:p w:rsidR="00371CD5" w:rsidRPr="00202E4E" w:rsidRDefault="00371CD5" w:rsidP="00371CD5">
            <w:pPr>
              <w:rPr>
                <w:sz w:val="8"/>
              </w:rPr>
            </w:pPr>
          </w:p>
        </w:tc>
      </w:tr>
      <w:tr w:rsidR="00124607" w:rsidTr="00853BDC">
        <w:trPr>
          <w:trHeight w:val="699"/>
        </w:trPr>
        <w:tc>
          <w:tcPr>
            <w:tcW w:w="2873" w:type="dxa"/>
            <w:vAlign w:val="center"/>
          </w:tcPr>
          <w:p w:rsidR="00371CD5" w:rsidRPr="00124607" w:rsidRDefault="00371CD5" w:rsidP="00371CD5">
            <w:pPr>
              <w:jc w:val="center"/>
              <w:rPr>
                <w:b/>
                <w:sz w:val="36"/>
                <w:szCs w:val="36"/>
              </w:rPr>
            </w:pPr>
            <w:r w:rsidRPr="00124607">
              <w:rPr>
                <w:b/>
                <w:sz w:val="36"/>
                <w:szCs w:val="36"/>
              </w:rPr>
              <w:t xml:space="preserve">Launch of </w:t>
            </w:r>
            <w:r w:rsidR="00124607">
              <w:rPr>
                <w:b/>
                <w:sz w:val="36"/>
                <w:szCs w:val="36"/>
              </w:rPr>
              <w:t xml:space="preserve">Adult </w:t>
            </w:r>
            <w:r w:rsidRPr="00124607">
              <w:rPr>
                <w:b/>
                <w:sz w:val="36"/>
                <w:szCs w:val="36"/>
              </w:rPr>
              <w:t>Safeguarding E-referral</w:t>
            </w:r>
          </w:p>
          <w:p w:rsidR="00124607" w:rsidRDefault="00124607" w:rsidP="00371CD5">
            <w:pPr>
              <w:jc w:val="center"/>
              <w:rPr>
                <w:b/>
                <w:sz w:val="32"/>
                <w:szCs w:val="32"/>
              </w:rPr>
            </w:pPr>
          </w:p>
          <w:p w:rsidR="00124607" w:rsidRDefault="00124607" w:rsidP="00371CD5">
            <w:pPr>
              <w:jc w:val="center"/>
              <w:rPr>
                <w:b/>
                <w:sz w:val="32"/>
                <w:szCs w:val="32"/>
              </w:rPr>
            </w:pPr>
          </w:p>
          <w:p w:rsidR="00124607" w:rsidRDefault="00124607" w:rsidP="00371CD5">
            <w:pPr>
              <w:jc w:val="center"/>
              <w:rPr>
                <w:b/>
                <w:sz w:val="32"/>
                <w:szCs w:val="32"/>
              </w:rPr>
            </w:pPr>
          </w:p>
          <w:p w:rsidR="00371CD5" w:rsidRPr="001A1A51" w:rsidRDefault="00371CD5" w:rsidP="00371CD5">
            <w:pPr>
              <w:jc w:val="center"/>
              <w:rPr>
                <w:b/>
              </w:rPr>
            </w:pPr>
            <w:r>
              <w:rPr>
                <w:noProof/>
                <w:lang w:eastAsia="en-GB"/>
              </w:rPr>
              <w:drawing>
                <wp:inline distT="0" distB="0" distL="0" distR="0" wp14:anchorId="51EB9F09" wp14:editId="65974268">
                  <wp:extent cx="1670770" cy="860425"/>
                  <wp:effectExtent l="0" t="0" r="571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1718" cy="902112"/>
                          </a:xfrm>
                          <a:prstGeom prst="rect">
                            <a:avLst/>
                          </a:prstGeom>
                          <a:noFill/>
                          <a:ln>
                            <a:noFill/>
                          </a:ln>
                        </pic:spPr>
                      </pic:pic>
                    </a:graphicData>
                  </a:graphic>
                </wp:inline>
              </w:drawing>
            </w:r>
          </w:p>
        </w:tc>
        <w:tc>
          <w:tcPr>
            <w:tcW w:w="7612" w:type="dxa"/>
            <w:vAlign w:val="center"/>
          </w:tcPr>
          <w:p w:rsidR="00371CD5" w:rsidRDefault="00371CD5" w:rsidP="00371CD5">
            <w:pPr>
              <w:rPr>
                <w:rStyle w:val="Hyperlink"/>
              </w:rPr>
            </w:pPr>
            <w:r>
              <w:t xml:space="preserve">The updated adult Safeguarding E-Referral to report a concern about an adult at risk of, or experiencing harm has now gone live. Access the form </w:t>
            </w:r>
            <w:hyperlink r:id="rId35" w:history="1">
              <w:r w:rsidR="00124607" w:rsidRPr="00124607">
                <w:rPr>
                  <w:rStyle w:val="Hyperlink"/>
                </w:rPr>
                <w:t>here</w:t>
              </w:r>
            </w:hyperlink>
            <w:r w:rsidR="00124607">
              <w:t xml:space="preserve"> </w:t>
            </w:r>
          </w:p>
          <w:p w:rsidR="00124607" w:rsidRPr="00124607" w:rsidRDefault="00124607" w:rsidP="00124607">
            <w:pPr>
              <w:rPr>
                <w:rFonts w:cs="Calibri"/>
                <w:b/>
              </w:rPr>
            </w:pPr>
            <w:r w:rsidRPr="00124607">
              <w:rPr>
                <w:rFonts w:cs="Calibri"/>
                <w:b/>
              </w:rPr>
              <w:t>If you have not used the E-Referral form before:</w:t>
            </w:r>
          </w:p>
          <w:p w:rsidR="00124607" w:rsidRPr="00124607" w:rsidRDefault="00124607" w:rsidP="00124607">
            <w:pPr>
              <w:numPr>
                <w:ilvl w:val="0"/>
                <w:numId w:val="22"/>
              </w:numPr>
              <w:rPr>
                <w:rFonts w:cs="Calibri"/>
                <w:color w:val="1F497D"/>
              </w:rPr>
            </w:pPr>
            <w:r w:rsidRPr="00124607">
              <w:rPr>
                <w:rFonts w:cs="Calibri"/>
              </w:rPr>
              <w:t xml:space="preserve">If you don’t already have a </w:t>
            </w:r>
            <w:r w:rsidRPr="00124607">
              <w:rPr>
                <w:rFonts w:cs="Calibri"/>
                <w:color w:val="1F497D"/>
              </w:rPr>
              <w:t>‘</w:t>
            </w:r>
            <w:hyperlink r:id="rId36" w:history="1">
              <w:r w:rsidRPr="00124607">
                <w:rPr>
                  <w:rFonts w:cs="Calibri"/>
                  <w:color w:val="0563C1" w:themeColor="hyperlink"/>
                  <w:u w:val="single"/>
                </w:rPr>
                <w:t>My Account</w:t>
              </w:r>
            </w:hyperlink>
            <w:r w:rsidRPr="00124607">
              <w:rPr>
                <w:rFonts w:cs="Calibri"/>
                <w:color w:val="1F497D"/>
              </w:rPr>
              <w:t xml:space="preserve">’ </w:t>
            </w:r>
            <w:r w:rsidRPr="00124607">
              <w:rPr>
                <w:rFonts w:cs="Calibri"/>
              </w:rPr>
              <w:t xml:space="preserve">with Swindon Borough Council </w:t>
            </w:r>
            <w:hyperlink r:id="rId37" w:history="1">
              <w:r w:rsidRPr="00124607">
                <w:rPr>
                  <w:rFonts w:cs="Calibri"/>
                  <w:color w:val="0563C1" w:themeColor="hyperlink"/>
                  <w:u w:val="single"/>
                </w:rPr>
                <w:t>register for one for free</w:t>
              </w:r>
            </w:hyperlink>
            <w:r w:rsidRPr="00124607">
              <w:rPr>
                <w:rFonts w:cs="Calibri"/>
                <w:color w:val="1F497D"/>
              </w:rPr>
              <w:t xml:space="preserve"> </w:t>
            </w:r>
            <w:r w:rsidRPr="00124607">
              <w:rPr>
                <w:rFonts w:cs="Calibri"/>
              </w:rPr>
              <w:t>or</w:t>
            </w:r>
            <w:r w:rsidRPr="00124607">
              <w:rPr>
                <w:rFonts w:cs="Calibri"/>
                <w:color w:val="1F497D"/>
              </w:rPr>
              <w:t xml:space="preserve"> </w:t>
            </w:r>
            <w:hyperlink r:id="rId38" w:history="1">
              <w:r w:rsidRPr="00124607">
                <w:rPr>
                  <w:rFonts w:cs="Calibri"/>
                  <w:color w:val="0563C1" w:themeColor="hyperlink"/>
                  <w:u w:val="single"/>
                </w:rPr>
                <w:t>reset your password</w:t>
              </w:r>
            </w:hyperlink>
          </w:p>
          <w:p w:rsidR="00124607" w:rsidRPr="00124607" w:rsidRDefault="00124607" w:rsidP="00124607">
            <w:pPr>
              <w:numPr>
                <w:ilvl w:val="0"/>
                <w:numId w:val="22"/>
              </w:numPr>
              <w:rPr>
                <w:rFonts w:cs="Calibri"/>
                <w:color w:val="1F497D"/>
              </w:rPr>
            </w:pPr>
            <w:r w:rsidRPr="00124607">
              <w:rPr>
                <w:rFonts w:cs="Calibri"/>
              </w:rPr>
              <w:t xml:space="preserve">Once you have a ‘My Account’ set up use this link; </w:t>
            </w:r>
            <w:hyperlink r:id="rId39" w:history="1">
              <w:r w:rsidRPr="00124607">
                <w:rPr>
                  <w:rFonts w:cs="Calibri"/>
                  <w:color w:val="0563C1" w:themeColor="hyperlink"/>
                  <w:u w:val="single"/>
                </w:rPr>
                <w:t>Report a concern about an adult at risk of, or experiencing, harm</w:t>
              </w:r>
            </w:hyperlink>
          </w:p>
          <w:p w:rsidR="00124607" w:rsidRPr="00124607" w:rsidRDefault="00124607" w:rsidP="00124607">
            <w:pPr>
              <w:rPr>
                <w:rFonts w:cs="Calibri"/>
                <w:b/>
              </w:rPr>
            </w:pPr>
            <w:r w:rsidRPr="00124607">
              <w:rPr>
                <w:rFonts w:cs="Calibri"/>
                <w:b/>
              </w:rPr>
              <w:t>Helpful hits and tips:</w:t>
            </w:r>
          </w:p>
          <w:p w:rsidR="00124607" w:rsidRDefault="00124607" w:rsidP="00467D45">
            <w:pPr>
              <w:numPr>
                <w:ilvl w:val="0"/>
                <w:numId w:val="18"/>
              </w:numPr>
              <w:rPr>
                <w:rFonts w:cs="Calibri"/>
              </w:rPr>
            </w:pPr>
            <w:r w:rsidRPr="00124607">
              <w:rPr>
                <w:rFonts w:cs="Calibri"/>
              </w:rPr>
              <w:t xml:space="preserve">To gather the information you’ll need to complete the form </w:t>
            </w:r>
            <w:r w:rsidRPr="00124607">
              <w:rPr>
                <w:rFonts w:cs="Calibri"/>
                <w:u w:val="single"/>
              </w:rPr>
              <w:t>in advance</w:t>
            </w:r>
            <w:r w:rsidRPr="00124607">
              <w:rPr>
                <w:rFonts w:cs="Calibri"/>
              </w:rPr>
              <w:t xml:space="preserve">. </w:t>
            </w:r>
            <w:r>
              <w:rPr>
                <w:rFonts w:cs="Calibri"/>
              </w:rPr>
              <w:t xml:space="preserve">Information required </w:t>
            </w:r>
            <w:r w:rsidRPr="00124607">
              <w:rPr>
                <w:rFonts w:cs="Calibri"/>
              </w:rPr>
              <w:t xml:space="preserve">is included at the start of the form and below. </w:t>
            </w:r>
          </w:p>
          <w:p w:rsidR="00124607" w:rsidRPr="00124607" w:rsidRDefault="00124607" w:rsidP="00467D45">
            <w:pPr>
              <w:numPr>
                <w:ilvl w:val="0"/>
                <w:numId w:val="18"/>
              </w:numPr>
              <w:rPr>
                <w:rFonts w:cs="Calibri"/>
              </w:rPr>
            </w:pPr>
            <w:r w:rsidRPr="00124607">
              <w:rPr>
                <w:rFonts w:cs="Calibri"/>
              </w:rPr>
              <w:t xml:space="preserve">Use the functionality to save the E-Referral as you go through it. </w:t>
            </w:r>
            <w:r>
              <w:rPr>
                <w:rFonts w:cs="Calibri"/>
              </w:rPr>
              <w:t>I</w:t>
            </w:r>
            <w:r w:rsidRPr="00124607">
              <w:rPr>
                <w:rFonts w:cs="Calibri"/>
              </w:rPr>
              <w:t xml:space="preserve">nstructions </w:t>
            </w:r>
            <w:r>
              <w:rPr>
                <w:rFonts w:cs="Calibri"/>
              </w:rPr>
              <w:t xml:space="preserve">are </w:t>
            </w:r>
            <w:r w:rsidRPr="00124607">
              <w:rPr>
                <w:rFonts w:cs="Calibri"/>
              </w:rPr>
              <w:t>in the form and below.</w:t>
            </w:r>
          </w:p>
          <w:p w:rsidR="00124607" w:rsidRPr="00124607" w:rsidRDefault="00124607" w:rsidP="00124607">
            <w:pPr>
              <w:numPr>
                <w:ilvl w:val="0"/>
                <w:numId w:val="18"/>
              </w:numPr>
              <w:rPr>
                <w:rFonts w:cs="Calibri"/>
              </w:rPr>
            </w:pPr>
            <w:r w:rsidRPr="00124607">
              <w:rPr>
                <w:rFonts w:cs="Calibri"/>
              </w:rPr>
              <w:t xml:space="preserve">Users often have an optimised experience when using </w:t>
            </w:r>
            <w:hyperlink r:id="rId40" w:history="1">
              <w:r w:rsidRPr="00124607">
                <w:rPr>
                  <w:rFonts w:cs="Calibri"/>
                  <w:color w:val="0563C1" w:themeColor="hyperlink"/>
                  <w:u w:val="single"/>
                </w:rPr>
                <w:t>Google Chrome</w:t>
              </w:r>
            </w:hyperlink>
            <w:r w:rsidRPr="00124607">
              <w:rPr>
                <w:rFonts w:cs="Calibri"/>
              </w:rPr>
              <w:t>, particularly when using date fields.</w:t>
            </w:r>
          </w:p>
          <w:p w:rsidR="00124607" w:rsidRPr="00124607" w:rsidRDefault="00124607" w:rsidP="00124607">
            <w:pPr>
              <w:rPr>
                <w:rFonts w:cs="Calibri"/>
                <w:b/>
                <w:bCs/>
              </w:rPr>
            </w:pPr>
            <w:r w:rsidRPr="00124607">
              <w:rPr>
                <w:rFonts w:cs="Calibri"/>
                <w:b/>
                <w:bCs/>
              </w:rPr>
              <w:t>What you’ll be asked in the form:</w:t>
            </w:r>
          </w:p>
          <w:p w:rsidR="00124607" w:rsidRPr="00124607" w:rsidRDefault="00124607" w:rsidP="00124607">
            <w:pPr>
              <w:numPr>
                <w:ilvl w:val="0"/>
                <w:numId w:val="19"/>
              </w:numPr>
              <w:rPr>
                <w:rFonts w:cs="Calibri"/>
              </w:rPr>
            </w:pPr>
            <w:r w:rsidRPr="00124607">
              <w:rPr>
                <w:rFonts w:cs="Calibri"/>
              </w:rPr>
              <w:t>Your details</w:t>
            </w:r>
          </w:p>
          <w:p w:rsidR="00124607" w:rsidRPr="00124607" w:rsidRDefault="00124607" w:rsidP="00124607">
            <w:pPr>
              <w:numPr>
                <w:ilvl w:val="0"/>
                <w:numId w:val="19"/>
              </w:numPr>
              <w:rPr>
                <w:rFonts w:cs="Calibri"/>
              </w:rPr>
            </w:pPr>
            <w:r w:rsidRPr="00124607">
              <w:rPr>
                <w:rFonts w:cs="Calibri"/>
              </w:rPr>
              <w:t xml:space="preserve">Details of the person being referred, including </w:t>
            </w:r>
          </w:p>
          <w:p w:rsidR="00124607" w:rsidRPr="00124607" w:rsidRDefault="00124607" w:rsidP="00124607">
            <w:pPr>
              <w:numPr>
                <w:ilvl w:val="0"/>
                <w:numId w:val="19"/>
              </w:numPr>
              <w:rPr>
                <w:rFonts w:cs="Calibri"/>
              </w:rPr>
            </w:pPr>
            <w:r w:rsidRPr="00124607">
              <w:rPr>
                <w:rFonts w:cs="Calibri"/>
              </w:rPr>
              <w:t>Information about the reasons why you’re referring the person</w:t>
            </w:r>
          </w:p>
          <w:p w:rsidR="00124607" w:rsidRPr="00124607" w:rsidRDefault="00124607" w:rsidP="00124607">
            <w:pPr>
              <w:numPr>
                <w:ilvl w:val="0"/>
                <w:numId w:val="19"/>
              </w:numPr>
              <w:rPr>
                <w:rFonts w:cs="Calibri"/>
              </w:rPr>
            </w:pPr>
            <w:r w:rsidRPr="00124607">
              <w:rPr>
                <w:rFonts w:cs="Calibri"/>
              </w:rPr>
              <w:t>If the person being referred has given consent, or details about the reason why they haven’t given consent</w:t>
            </w:r>
          </w:p>
          <w:p w:rsidR="00124607" w:rsidRPr="00124607" w:rsidRDefault="00124607" w:rsidP="00124607">
            <w:pPr>
              <w:rPr>
                <w:rFonts w:cs="Calibri"/>
                <w:b/>
                <w:bCs/>
              </w:rPr>
            </w:pPr>
            <w:r w:rsidRPr="00124607">
              <w:rPr>
                <w:rFonts w:cs="Calibri"/>
                <w:b/>
                <w:bCs/>
              </w:rPr>
              <w:t>How to save information within the form:</w:t>
            </w:r>
          </w:p>
          <w:p w:rsidR="00124607" w:rsidRPr="00124607" w:rsidRDefault="00124607" w:rsidP="00124607">
            <w:pPr>
              <w:numPr>
                <w:ilvl w:val="0"/>
                <w:numId w:val="20"/>
              </w:numPr>
              <w:rPr>
                <w:rFonts w:cs="Calibri"/>
              </w:rPr>
            </w:pPr>
            <w:r w:rsidRPr="00124607">
              <w:rPr>
                <w:rFonts w:cs="Calibri"/>
              </w:rPr>
              <w:t xml:space="preserve">You have 20 minutes to complete each page before it expires. </w:t>
            </w:r>
          </w:p>
          <w:p w:rsidR="00124607" w:rsidRPr="00124607" w:rsidRDefault="00124607" w:rsidP="00124607">
            <w:pPr>
              <w:numPr>
                <w:ilvl w:val="0"/>
                <w:numId w:val="21"/>
              </w:numPr>
              <w:rPr>
                <w:rFonts w:cs="Calibri"/>
              </w:rPr>
            </w:pPr>
            <w:r w:rsidRPr="00124607">
              <w:rPr>
                <w:rFonts w:cs="Calibri"/>
              </w:rPr>
              <w:t xml:space="preserve">To save information you’ve entered, press the ‘next’ button at the bottom of the page. </w:t>
            </w:r>
          </w:p>
          <w:p w:rsidR="00124607" w:rsidRPr="00124607" w:rsidRDefault="00124607" w:rsidP="00124607">
            <w:pPr>
              <w:numPr>
                <w:ilvl w:val="0"/>
                <w:numId w:val="21"/>
              </w:numPr>
              <w:rPr>
                <w:rFonts w:cs="Calibri"/>
              </w:rPr>
            </w:pPr>
            <w:r w:rsidRPr="00124607">
              <w:rPr>
                <w:rFonts w:cs="Calibri"/>
              </w:rPr>
              <w:t>Then, when you’re on the next page, press the ‘previous’ button at the bottom of the page.</w:t>
            </w:r>
          </w:p>
          <w:p w:rsidR="00124607" w:rsidRPr="00124607" w:rsidRDefault="00124607" w:rsidP="00124607">
            <w:pPr>
              <w:numPr>
                <w:ilvl w:val="0"/>
                <w:numId w:val="21"/>
              </w:numPr>
              <w:rPr>
                <w:rFonts w:cs="Calibri"/>
              </w:rPr>
            </w:pPr>
            <w:r w:rsidRPr="00124607">
              <w:rPr>
                <w:rFonts w:cs="Calibri"/>
              </w:rPr>
              <w:t>You will then return to the previous page, where you can continue entering information for another 20 minutes.</w:t>
            </w:r>
          </w:p>
          <w:p w:rsidR="00124607" w:rsidRPr="00124607" w:rsidRDefault="00124607" w:rsidP="00124607">
            <w:pPr>
              <w:rPr>
                <w:rFonts w:cs="Calibri"/>
                <w:b/>
              </w:rPr>
            </w:pPr>
            <w:r w:rsidRPr="00124607">
              <w:rPr>
                <w:rFonts w:cs="Calibri"/>
                <w:b/>
              </w:rPr>
              <w:t xml:space="preserve">Impact of the E-Referral to date: </w:t>
            </w:r>
          </w:p>
          <w:p w:rsidR="00124607" w:rsidRPr="00124607" w:rsidRDefault="00124607" w:rsidP="00124607">
            <w:pPr>
              <w:numPr>
                <w:ilvl w:val="0"/>
                <w:numId w:val="23"/>
              </w:numPr>
              <w:rPr>
                <w:rFonts w:cs="Calibri"/>
              </w:rPr>
            </w:pPr>
            <w:r w:rsidRPr="00124607">
              <w:rPr>
                <w:rFonts w:cs="Calibri"/>
              </w:rPr>
              <w:t>More than 83% of users have reported their experience was good-great</w:t>
            </w:r>
          </w:p>
          <w:p w:rsidR="00124607" w:rsidRPr="00124607" w:rsidRDefault="00124607" w:rsidP="00124607">
            <w:pPr>
              <w:numPr>
                <w:ilvl w:val="0"/>
                <w:numId w:val="23"/>
              </w:numPr>
              <w:rPr>
                <w:rFonts w:cs="Calibri"/>
              </w:rPr>
            </w:pPr>
            <w:r w:rsidRPr="00124607">
              <w:rPr>
                <w:rFonts w:cs="Calibri"/>
              </w:rPr>
              <w:t>Improved collection and quality of the information shared about adults at risk of, or experiencing harm</w:t>
            </w:r>
          </w:p>
          <w:p w:rsidR="00124607" w:rsidRPr="00124607" w:rsidRDefault="00124607" w:rsidP="00124607">
            <w:pPr>
              <w:numPr>
                <w:ilvl w:val="0"/>
                <w:numId w:val="23"/>
              </w:numPr>
              <w:rPr>
                <w:rFonts w:cs="Calibri"/>
              </w:rPr>
            </w:pPr>
            <w:r w:rsidRPr="00124607">
              <w:rPr>
                <w:rFonts w:cs="Calibri"/>
              </w:rPr>
              <w:t xml:space="preserve">Personalised Safeguarding and with informed decisions </w:t>
            </w:r>
          </w:p>
          <w:p w:rsidR="00124607" w:rsidRPr="00124607" w:rsidRDefault="00124607" w:rsidP="00124607">
            <w:pPr>
              <w:numPr>
                <w:ilvl w:val="0"/>
                <w:numId w:val="23"/>
              </w:numPr>
              <w:rPr>
                <w:rFonts w:cs="Calibri"/>
              </w:rPr>
            </w:pPr>
            <w:r w:rsidRPr="00124607">
              <w:rPr>
                <w:rFonts w:cs="Calibri"/>
              </w:rPr>
              <w:t xml:space="preserve">Improved the timescales for completing enquiries and decisions to support vulnerable adults </w:t>
            </w:r>
          </w:p>
          <w:p w:rsidR="00371CD5" w:rsidRPr="00EE6BC9" w:rsidRDefault="00124607" w:rsidP="00124607">
            <w:pPr>
              <w:rPr>
                <w:color w:val="000000" w:themeColor="text1"/>
              </w:rPr>
            </w:pPr>
            <w:r>
              <w:rPr>
                <w:rFonts w:cs="Calibri"/>
              </w:rPr>
              <w:t>Y</w:t>
            </w:r>
            <w:r w:rsidRPr="00124607">
              <w:rPr>
                <w:rFonts w:cs="Calibri"/>
              </w:rPr>
              <w:t xml:space="preserve">ou can share feedback using the smiles at the end of the form or by emailing </w:t>
            </w:r>
            <w:hyperlink r:id="rId41" w:history="1">
              <w:r w:rsidRPr="00124607">
                <w:rPr>
                  <w:rFonts w:cs="Calibri"/>
                  <w:color w:val="0563C1" w:themeColor="hyperlink"/>
                  <w:u w:val="single"/>
                </w:rPr>
                <w:t>AdultSafeGuarding@swindon.gov.uk</w:t>
              </w:r>
            </w:hyperlink>
            <w:r w:rsidRPr="00124607">
              <w:rPr>
                <w:rFonts w:cs="Calibri"/>
              </w:rPr>
              <w:t xml:space="preserve">. </w:t>
            </w:r>
          </w:p>
        </w:tc>
      </w:tr>
      <w:tr w:rsidR="00124607" w:rsidTr="00A844C0">
        <w:trPr>
          <w:trHeight w:val="80"/>
        </w:trPr>
        <w:tc>
          <w:tcPr>
            <w:tcW w:w="2873" w:type="dxa"/>
            <w:shd w:val="clear" w:color="auto" w:fill="70AD47" w:themeFill="accent6"/>
          </w:tcPr>
          <w:p w:rsidR="00371CD5" w:rsidRPr="00202E4E" w:rsidRDefault="00371CD5" w:rsidP="00371CD5">
            <w:pPr>
              <w:jc w:val="center"/>
              <w:rPr>
                <w:b/>
                <w:color w:val="BF8F00" w:themeColor="accent4" w:themeShade="BF"/>
                <w:sz w:val="2"/>
              </w:rPr>
            </w:pPr>
          </w:p>
        </w:tc>
        <w:tc>
          <w:tcPr>
            <w:tcW w:w="7612" w:type="dxa"/>
            <w:shd w:val="clear" w:color="auto" w:fill="70AD47" w:themeFill="accent6"/>
            <w:vAlign w:val="center"/>
          </w:tcPr>
          <w:p w:rsidR="00371CD5" w:rsidRPr="00202E4E" w:rsidRDefault="00371CD5" w:rsidP="00371CD5">
            <w:pPr>
              <w:rPr>
                <w:sz w:val="8"/>
              </w:rPr>
            </w:pPr>
          </w:p>
        </w:tc>
      </w:tr>
      <w:tr w:rsidR="00124607" w:rsidTr="007617EA">
        <w:trPr>
          <w:trHeight w:val="2171"/>
        </w:trPr>
        <w:tc>
          <w:tcPr>
            <w:tcW w:w="2873" w:type="dxa"/>
            <w:vAlign w:val="center"/>
          </w:tcPr>
          <w:p w:rsidR="00371CD5" w:rsidRDefault="00371CD5" w:rsidP="00371CD5">
            <w:pPr>
              <w:jc w:val="center"/>
              <w:rPr>
                <w:rFonts w:asciiTheme="minorHAnsi" w:hAnsiTheme="minorHAnsi" w:cstheme="minorHAnsi"/>
                <w:b/>
                <w:noProof/>
                <w:sz w:val="28"/>
                <w:szCs w:val="28"/>
                <w:lang w:eastAsia="en-GB"/>
              </w:rPr>
            </w:pPr>
            <w:r w:rsidRPr="001E18F0">
              <w:rPr>
                <w:rFonts w:asciiTheme="minorHAnsi" w:hAnsiTheme="minorHAnsi" w:cstheme="minorHAnsi"/>
                <w:b/>
                <w:noProof/>
                <w:sz w:val="28"/>
                <w:szCs w:val="28"/>
                <w:lang w:eastAsia="en-GB"/>
              </w:rPr>
              <w:lastRenderedPageBreak/>
              <w:t>Problem Gambling in Young People</w:t>
            </w:r>
          </w:p>
          <w:p w:rsidR="00371CD5" w:rsidRDefault="00371CD5" w:rsidP="00371CD5">
            <w:pPr>
              <w:jc w:val="center"/>
              <w:rPr>
                <w:rFonts w:asciiTheme="minorHAnsi" w:hAnsiTheme="minorHAnsi" w:cstheme="minorHAnsi"/>
                <w:b/>
                <w:noProof/>
                <w:sz w:val="28"/>
                <w:szCs w:val="28"/>
                <w:lang w:eastAsia="en-GB"/>
              </w:rPr>
            </w:pPr>
          </w:p>
          <w:p w:rsidR="00371CD5" w:rsidRPr="001E18F0" w:rsidRDefault="00371CD5" w:rsidP="00371CD5">
            <w:pPr>
              <w:jc w:val="center"/>
              <w:rPr>
                <w:rFonts w:asciiTheme="minorHAnsi" w:hAnsiTheme="minorHAnsi" w:cstheme="minorHAnsi"/>
                <w:b/>
                <w:sz w:val="28"/>
                <w:szCs w:val="28"/>
              </w:rPr>
            </w:pPr>
            <w:r>
              <w:rPr>
                <w:noProof/>
                <w:lang w:eastAsia="en-GB"/>
              </w:rPr>
              <w:drawing>
                <wp:inline distT="0" distB="0" distL="0" distR="0" wp14:anchorId="7CE36647" wp14:editId="7757F608">
                  <wp:extent cx="1003764" cy="480060"/>
                  <wp:effectExtent l="0" t="0" r="6350" b="0"/>
                  <wp:docPr id="11" name="Picture 11" descr="Image result for ara recovery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a recovery for all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50092" cy="502217"/>
                          </a:xfrm>
                          <a:prstGeom prst="rect">
                            <a:avLst/>
                          </a:prstGeom>
                          <a:noFill/>
                          <a:ln>
                            <a:noFill/>
                          </a:ln>
                        </pic:spPr>
                      </pic:pic>
                    </a:graphicData>
                  </a:graphic>
                </wp:inline>
              </w:drawing>
            </w:r>
          </w:p>
        </w:tc>
        <w:tc>
          <w:tcPr>
            <w:tcW w:w="7612" w:type="dxa"/>
          </w:tcPr>
          <w:p w:rsidR="00371CD5" w:rsidRDefault="00BC3FCC" w:rsidP="002977EC">
            <w:hyperlink r:id="rId43" w:history="1">
              <w:r w:rsidR="00371CD5" w:rsidRPr="002977EC">
                <w:rPr>
                  <w:rStyle w:val="Hyperlink"/>
                  <w:rFonts w:asciiTheme="minorHAnsi" w:hAnsiTheme="minorHAnsi" w:cstheme="minorHAnsi"/>
                </w:rPr>
                <w:t>Addiction Recovery Agency (ARA) </w:t>
              </w:r>
            </w:hyperlink>
            <w:r w:rsidR="00371CD5" w:rsidRPr="007617EA">
              <w:rPr>
                <w:rFonts w:asciiTheme="minorHAnsi" w:hAnsiTheme="minorHAnsi" w:cstheme="minorHAnsi"/>
              </w:rPr>
              <w:t xml:space="preserve">provides FREE workshops on ‘problem gambling in young people’ both for professionals who work with young people aged 11-19, as well as workshops for young people aged 11-19 themselves. ARA are the named Gamcare partner for the South-West of England.  </w:t>
            </w:r>
            <w:r w:rsidR="00371CD5" w:rsidRPr="000B34C2">
              <w:rPr>
                <w:rFonts w:asciiTheme="minorHAnsi" w:hAnsiTheme="minorHAnsi" w:cstheme="minorHAnsi"/>
              </w:rPr>
              <w:t xml:space="preserve">A </w:t>
            </w:r>
            <w:hyperlink r:id="rId44" w:history="1">
              <w:r w:rsidR="00371CD5" w:rsidRPr="000B34C2">
                <w:rPr>
                  <w:rStyle w:val="Hyperlink"/>
                  <w:rFonts w:asciiTheme="minorHAnsi" w:hAnsiTheme="minorHAnsi" w:cstheme="minorHAnsi"/>
                </w:rPr>
                <w:t>7 minute brief</w:t>
              </w:r>
            </w:hyperlink>
            <w:r w:rsidR="00371CD5" w:rsidRPr="007617EA">
              <w:rPr>
                <w:rFonts w:asciiTheme="minorHAnsi" w:hAnsiTheme="minorHAnsi" w:cstheme="minorHAnsi"/>
              </w:rPr>
              <w:t xml:space="preserve"> is available on the SSP website.  ARA are currently offering both the young peoples and professionals workshops via zoom. If this is of interest to any professionals or if schools</w:t>
            </w:r>
            <w:r w:rsidR="00371CD5">
              <w:rPr>
                <w:rFonts w:asciiTheme="minorHAnsi" w:hAnsiTheme="minorHAnsi" w:cstheme="minorHAnsi"/>
              </w:rPr>
              <w:t>/</w:t>
            </w:r>
            <w:r w:rsidR="00371CD5" w:rsidRPr="007617EA">
              <w:rPr>
                <w:rFonts w:asciiTheme="minorHAnsi" w:hAnsiTheme="minorHAnsi" w:cstheme="minorHAnsi"/>
              </w:rPr>
              <w:t xml:space="preserve">colleges wish to engage, please contact </w:t>
            </w:r>
            <w:r w:rsidR="00371CD5" w:rsidRPr="007617EA">
              <w:rPr>
                <w:rFonts w:asciiTheme="minorHAnsi" w:hAnsiTheme="minorHAnsi" w:cstheme="minorHAnsi"/>
                <w:lang w:eastAsia="en-GB"/>
              </w:rPr>
              <w:t>Nick Herbert, Young Persons Proj</w:t>
            </w:r>
            <w:r w:rsidR="002977EC">
              <w:rPr>
                <w:rFonts w:asciiTheme="minorHAnsi" w:hAnsiTheme="minorHAnsi" w:cstheme="minorHAnsi"/>
                <w:lang w:eastAsia="en-GB"/>
              </w:rPr>
              <w:t xml:space="preserve">ect Lead. Email: </w:t>
            </w:r>
            <w:hyperlink r:id="rId45" w:history="1">
              <w:r w:rsidR="002977EC" w:rsidRPr="00F03C18">
                <w:rPr>
                  <w:rStyle w:val="Hyperlink"/>
                  <w:rFonts w:asciiTheme="minorHAnsi" w:hAnsiTheme="minorHAnsi" w:cstheme="minorHAnsi"/>
                  <w:lang w:eastAsia="en-GB"/>
                </w:rPr>
                <w:t>NickHerbert@recovery4all.co.uk</w:t>
              </w:r>
            </w:hyperlink>
            <w:r w:rsidR="002977EC">
              <w:rPr>
                <w:rFonts w:asciiTheme="minorHAnsi" w:hAnsiTheme="minorHAnsi" w:cstheme="minorHAnsi"/>
                <w:lang w:eastAsia="en-GB"/>
              </w:rPr>
              <w:t xml:space="preserve"> </w:t>
            </w:r>
          </w:p>
        </w:tc>
      </w:tr>
      <w:tr w:rsidR="00124607" w:rsidTr="00A844C0">
        <w:trPr>
          <w:trHeight w:val="116"/>
        </w:trPr>
        <w:tc>
          <w:tcPr>
            <w:tcW w:w="2873" w:type="dxa"/>
            <w:shd w:val="clear" w:color="auto" w:fill="C45911" w:themeFill="accent2" w:themeFillShade="BF"/>
          </w:tcPr>
          <w:p w:rsidR="00371CD5" w:rsidRPr="00202E4E" w:rsidRDefault="00371CD5" w:rsidP="00371CD5">
            <w:pPr>
              <w:jc w:val="center"/>
              <w:rPr>
                <w:b/>
                <w:color w:val="BF8F00" w:themeColor="accent4" w:themeShade="BF"/>
                <w:sz w:val="2"/>
              </w:rPr>
            </w:pPr>
          </w:p>
        </w:tc>
        <w:tc>
          <w:tcPr>
            <w:tcW w:w="7612" w:type="dxa"/>
            <w:shd w:val="clear" w:color="auto" w:fill="C45911" w:themeFill="accent2" w:themeFillShade="BF"/>
            <w:vAlign w:val="center"/>
          </w:tcPr>
          <w:p w:rsidR="00371CD5" w:rsidRPr="00202E4E" w:rsidRDefault="00371CD5" w:rsidP="00371CD5">
            <w:pPr>
              <w:rPr>
                <w:sz w:val="8"/>
              </w:rPr>
            </w:pPr>
          </w:p>
        </w:tc>
      </w:tr>
      <w:tr w:rsidR="00124607" w:rsidTr="000B34C2">
        <w:trPr>
          <w:trHeight w:val="1425"/>
        </w:trPr>
        <w:tc>
          <w:tcPr>
            <w:tcW w:w="2873" w:type="dxa"/>
            <w:vAlign w:val="center"/>
          </w:tcPr>
          <w:p w:rsidR="002977EC" w:rsidRPr="00FA263B" w:rsidRDefault="002977EC" w:rsidP="002977EC">
            <w:pPr>
              <w:jc w:val="center"/>
              <w:rPr>
                <w:b/>
                <w:color w:val="FFFFFF" w:themeColor="background1"/>
                <w:sz w:val="28"/>
              </w:rPr>
            </w:pPr>
            <w:r w:rsidRPr="00FA263B">
              <w:rPr>
                <w:b/>
                <w:noProof/>
                <w:lang w:eastAsia="en-GB"/>
              </w:rPr>
              <mc:AlternateContent>
                <mc:Choice Requires="wps">
                  <w:drawing>
                    <wp:anchor distT="0" distB="0" distL="114300" distR="114300" simplePos="0" relativeHeight="251681792" behindDoc="0" locked="0" layoutInCell="1" allowOverlap="1" wp14:anchorId="09FF9A18" wp14:editId="0EF75731">
                      <wp:simplePos x="0" y="0"/>
                      <wp:positionH relativeFrom="column">
                        <wp:posOffset>261620</wp:posOffset>
                      </wp:positionH>
                      <wp:positionV relativeFrom="paragraph">
                        <wp:posOffset>123825</wp:posOffset>
                      </wp:positionV>
                      <wp:extent cx="110490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rgbClr val="0070C0"/>
                              </a:solidFill>
                              <a:ln w="6350">
                                <a:noFill/>
                              </a:ln>
                            </wps:spPr>
                            <wps:txbx>
                              <w:txbxContent>
                                <w:p w:rsidR="002977EC" w:rsidRPr="00FA263B" w:rsidRDefault="002977EC" w:rsidP="002977EC">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9A18" id="_x0000_t202" coordsize="21600,21600" o:spt="202" path="m,l,21600r21600,l21600,xe">
                      <v:stroke joinstyle="miter"/>
                      <v:path gradientshapeok="t" o:connecttype="rect"/>
                    </v:shapetype>
                    <v:shape id="Text Box 25" o:spid="_x0000_s1026" type="#_x0000_t202" style="position:absolute;left:0;text-align:left;margin-left:20.6pt;margin-top:9.75pt;width:87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" fillcolor="#0070c0" stroked="f" strokeweight=".5pt">
                      <v:textbox>
                        <w:txbxContent>
                          <w:p w:rsidR="002977EC" w:rsidRPr="00FA263B" w:rsidRDefault="002977EC" w:rsidP="002977EC">
                            <w:pPr>
                              <w:jc w:val="center"/>
                              <w:rPr>
                                <w:b/>
                                <w:color w:val="FFFFFF" w:themeColor="background1"/>
                                <w:sz w:val="28"/>
                              </w:rPr>
                            </w:pPr>
                            <w:r w:rsidRPr="00FA263B">
                              <w:rPr>
                                <w:b/>
                                <w:color w:val="FFFFFF" w:themeColor="background1"/>
                                <w:sz w:val="28"/>
                              </w:rPr>
                              <w:t>SSP</w:t>
                            </w:r>
                          </w:p>
                        </w:txbxContent>
                      </v:textbox>
                    </v:shape>
                  </w:pict>
                </mc:Fallback>
              </mc:AlternateContent>
            </w:r>
            <w:r w:rsidRPr="00FA263B">
              <w:rPr>
                <w:b/>
                <w:color w:val="FFFFFF" w:themeColor="background1"/>
                <w:sz w:val="28"/>
              </w:rPr>
              <w:t>SSP</w:t>
            </w:r>
          </w:p>
          <w:p w:rsidR="002977EC" w:rsidRDefault="002977EC" w:rsidP="002977EC">
            <w:pPr>
              <w:jc w:val="center"/>
              <w:rPr>
                <w:b/>
                <w:color w:val="00B0F0"/>
                <w:sz w:val="32"/>
              </w:rPr>
            </w:pPr>
          </w:p>
          <w:p w:rsidR="002977EC" w:rsidRDefault="00BC3FCC" w:rsidP="002977EC">
            <w:pPr>
              <w:jc w:val="center"/>
              <w:rPr>
                <w:b/>
                <w:color w:val="00B0F0"/>
                <w:sz w:val="32"/>
              </w:rPr>
            </w:pPr>
            <w:hyperlink r:id="rId46" w:history="1">
              <w:r w:rsidR="002977EC" w:rsidRPr="000A0666">
                <w:rPr>
                  <w:rStyle w:val="Hyperlink"/>
                  <w:b/>
                  <w:sz w:val="32"/>
                </w:rPr>
                <w:t>Virtual Classroom</w:t>
              </w:r>
            </w:hyperlink>
          </w:p>
          <w:p w:rsidR="000B34C2" w:rsidRPr="004B44B4" w:rsidRDefault="000B34C2" w:rsidP="00371CD5">
            <w:pPr>
              <w:jc w:val="center"/>
              <w:rPr>
                <w:b/>
              </w:rPr>
            </w:pPr>
          </w:p>
        </w:tc>
        <w:tc>
          <w:tcPr>
            <w:tcW w:w="7612" w:type="dxa"/>
            <w:vAlign w:val="center"/>
          </w:tcPr>
          <w:p w:rsidR="002977EC" w:rsidRDefault="002977EC" w:rsidP="002977EC">
            <w:pPr>
              <w:rPr>
                <w:rStyle w:val="Hyperlink"/>
                <w:rFonts w:eastAsia="Calibri" w:cs="Arial"/>
                <w:szCs w:val="20"/>
                <w:lang w:eastAsia="en-GB"/>
              </w:rPr>
            </w:pPr>
            <w:r w:rsidRPr="00C4354D">
              <w:rPr>
                <w:rFonts w:asciiTheme="minorHAnsi" w:hAnsiTheme="minorHAnsi" w:cstheme="minorBidi"/>
              </w:rPr>
              <w:t xml:space="preserve">Although we are still not able to deliver any face-to-face training, </w:t>
            </w:r>
            <w:r>
              <w:rPr>
                <w:rFonts w:asciiTheme="minorHAnsi" w:hAnsiTheme="minorHAnsi" w:cstheme="minorBidi"/>
              </w:rPr>
              <w:t>please keep checking the SSP website for the r</w:t>
            </w:r>
            <w:r w:rsidRPr="00C4354D">
              <w:rPr>
                <w:rFonts w:asciiTheme="minorHAnsi" w:hAnsiTheme="minorHAnsi" w:cstheme="minorBidi"/>
              </w:rPr>
              <w:t xml:space="preserve">ange of topics for which we have on-line </w:t>
            </w:r>
            <w:r>
              <w:rPr>
                <w:rFonts w:asciiTheme="minorHAnsi" w:hAnsiTheme="minorHAnsi" w:cstheme="minorBidi"/>
              </w:rPr>
              <w:t xml:space="preserve">and virtual </w:t>
            </w:r>
            <w:r w:rsidRPr="00C4354D">
              <w:rPr>
                <w:rFonts w:asciiTheme="minorHAnsi" w:hAnsiTheme="minorHAnsi" w:cstheme="minorBidi"/>
              </w:rPr>
              <w:t>learning available.</w:t>
            </w:r>
            <w:r>
              <w:rPr>
                <w:rFonts w:asciiTheme="minorHAnsi" w:hAnsiTheme="minorHAnsi" w:cstheme="minorBidi"/>
              </w:rPr>
              <w:t xml:space="preserve"> Visit </w:t>
            </w:r>
            <w:r w:rsidRPr="00C4354D">
              <w:rPr>
                <w:rFonts w:eastAsia="Calibri" w:cs="Arial"/>
                <w:szCs w:val="20"/>
                <w:lang w:eastAsia="en-GB"/>
              </w:rPr>
              <w:t xml:space="preserve">the </w:t>
            </w:r>
            <w:hyperlink r:id="rId47" w:history="1">
              <w:r w:rsidRPr="00E170C0">
                <w:rPr>
                  <w:rStyle w:val="Hyperlink"/>
                  <w:rFonts w:eastAsia="Calibri" w:cs="Arial"/>
                  <w:szCs w:val="20"/>
                  <w:lang w:eastAsia="en-GB"/>
                </w:rPr>
                <w:t>virtual courses &amp; eLearning page of the SSP website.</w:t>
              </w:r>
            </w:hyperlink>
          </w:p>
          <w:p w:rsidR="000A0666" w:rsidRPr="000A0666" w:rsidRDefault="000A0666" w:rsidP="002977EC">
            <w:pPr>
              <w:rPr>
                <w:rStyle w:val="Hyperlink"/>
                <w:rFonts w:eastAsia="Calibri" w:cs="Arial"/>
                <w:color w:val="auto"/>
                <w:szCs w:val="20"/>
                <w:u w:val="none"/>
                <w:lang w:eastAsia="en-GB"/>
              </w:rPr>
            </w:pPr>
            <w:r w:rsidRPr="000A0666">
              <w:rPr>
                <w:rStyle w:val="Hyperlink"/>
                <w:rFonts w:eastAsia="Calibri" w:cs="Arial"/>
                <w:b/>
                <w:color w:val="auto"/>
                <w:szCs w:val="20"/>
                <w:u w:val="none"/>
                <w:lang w:eastAsia="en-GB"/>
              </w:rPr>
              <w:t>Spaces available</w:t>
            </w:r>
            <w:r>
              <w:rPr>
                <w:rStyle w:val="Hyperlink"/>
                <w:rFonts w:eastAsia="Calibri" w:cs="Arial"/>
                <w:color w:val="auto"/>
                <w:szCs w:val="20"/>
                <w:u w:val="none"/>
                <w:lang w:eastAsia="en-GB"/>
              </w:rPr>
              <w:t xml:space="preserve">: </w:t>
            </w:r>
            <w:r w:rsidRPr="000A0666">
              <w:rPr>
                <w:rStyle w:val="Hyperlink"/>
                <w:rFonts w:eastAsia="Calibri" w:cs="Arial"/>
                <w:color w:val="auto"/>
                <w:szCs w:val="20"/>
                <w:u w:val="none"/>
                <w:lang w:eastAsia="en-GB"/>
              </w:rPr>
              <w:t>Threshold Training – Right Help @ Right Time – 19</w:t>
            </w:r>
            <w:r w:rsidRPr="000A0666">
              <w:rPr>
                <w:rStyle w:val="Hyperlink"/>
                <w:rFonts w:eastAsia="Calibri" w:cs="Arial"/>
                <w:color w:val="auto"/>
                <w:szCs w:val="20"/>
                <w:u w:val="none"/>
                <w:vertAlign w:val="superscript"/>
                <w:lang w:eastAsia="en-GB"/>
              </w:rPr>
              <w:t>th</w:t>
            </w:r>
            <w:r w:rsidRPr="000A0666">
              <w:rPr>
                <w:rStyle w:val="Hyperlink"/>
                <w:rFonts w:eastAsia="Calibri" w:cs="Arial"/>
                <w:color w:val="auto"/>
                <w:szCs w:val="20"/>
                <w:u w:val="none"/>
                <w:lang w:eastAsia="en-GB"/>
              </w:rPr>
              <w:t xml:space="preserve"> October 2020 and MASH/ACP Open Morning 6</w:t>
            </w:r>
            <w:r w:rsidRPr="000A0666">
              <w:rPr>
                <w:rStyle w:val="Hyperlink"/>
                <w:rFonts w:eastAsia="Calibri" w:cs="Arial"/>
                <w:color w:val="auto"/>
                <w:szCs w:val="20"/>
                <w:u w:val="none"/>
                <w:vertAlign w:val="superscript"/>
                <w:lang w:eastAsia="en-GB"/>
              </w:rPr>
              <w:t>th</w:t>
            </w:r>
            <w:r>
              <w:rPr>
                <w:rStyle w:val="Hyperlink"/>
                <w:rFonts w:eastAsia="Calibri" w:cs="Arial"/>
                <w:color w:val="auto"/>
                <w:szCs w:val="20"/>
                <w:u w:val="none"/>
                <w:lang w:eastAsia="en-GB"/>
              </w:rPr>
              <w:t xml:space="preserve"> November 2020</w:t>
            </w:r>
            <w:r w:rsidRPr="000A0666">
              <w:rPr>
                <w:rStyle w:val="Hyperlink"/>
                <w:rFonts w:eastAsia="Calibri" w:cs="Arial"/>
                <w:color w:val="auto"/>
                <w:szCs w:val="20"/>
                <w:u w:val="none"/>
                <w:lang w:eastAsia="en-GB"/>
              </w:rPr>
              <w:t>.</w:t>
            </w:r>
          </w:p>
          <w:p w:rsidR="001218B8" w:rsidRPr="001E18F0" w:rsidRDefault="002977EC" w:rsidP="001218B8">
            <w:pPr>
              <w:rPr>
                <w:rFonts w:asciiTheme="minorHAnsi" w:hAnsiTheme="minorHAnsi" w:cstheme="minorHAnsi"/>
                <w:szCs w:val="21"/>
              </w:rPr>
            </w:pPr>
            <w:r w:rsidRPr="002977EC">
              <w:rPr>
                <w:rFonts w:asciiTheme="minorHAnsi" w:hAnsiTheme="minorHAnsi" w:cstheme="minorHAnsi"/>
                <w:b/>
                <w:szCs w:val="21"/>
              </w:rPr>
              <w:t>Evaluation forms</w:t>
            </w:r>
            <w:r>
              <w:rPr>
                <w:rFonts w:asciiTheme="minorHAnsi" w:hAnsiTheme="minorHAnsi" w:cstheme="minorHAnsi"/>
                <w:szCs w:val="21"/>
              </w:rPr>
              <w:t>: If you</w:t>
            </w:r>
            <w:r w:rsidR="00206CB4">
              <w:rPr>
                <w:rFonts w:asciiTheme="minorHAnsi" w:hAnsiTheme="minorHAnsi" w:cstheme="minorHAnsi"/>
                <w:szCs w:val="21"/>
              </w:rPr>
              <w:t xml:space="preserve"> do</w:t>
            </w:r>
            <w:r>
              <w:rPr>
                <w:rFonts w:asciiTheme="minorHAnsi" w:hAnsiTheme="minorHAnsi" w:cstheme="minorHAnsi"/>
                <w:szCs w:val="21"/>
              </w:rPr>
              <w:t xml:space="preserve"> attend </w:t>
            </w:r>
            <w:r w:rsidR="00206CB4">
              <w:rPr>
                <w:rFonts w:asciiTheme="minorHAnsi" w:hAnsiTheme="minorHAnsi" w:cstheme="minorHAnsi"/>
                <w:szCs w:val="21"/>
              </w:rPr>
              <w:t>a course</w:t>
            </w:r>
            <w:r w:rsidR="00206CB4" w:rsidRPr="000A0666">
              <w:rPr>
                <w:rFonts w:asciiTheme="minorHAnsi" w:hAnsiTheme="minorHAnsi" w:cstheme="minorHAnsi"/>
                <w:b/>
                <w:szCs w:val="21"/>
              </w:rPr>
              <w:t xml:space="preserve">, </w:t>
            </w:r>
            <w:r w:rsidR="00206CB4" w:rsidRPr="000A0666">
              <w:rPr>
                <w:rFonts w:asciiTheme="minorHAnsi" w:hAnsiTheme="minorHAnsi" w:cstheme="minorHAnsi"/>
                <w:b/>
                <w:szCs w:val="21"/>
                <w:u w:val="single"/>
              </w:rPr>
              <w:t xml:space="preserve">please give us your </w:t>
            </w:r>
            <w:r w:rsidRPr="000A0666">
              <w:rPr>
                <w:rFonts w:asciiTheme="minorHAnsi" w:hAnsiTheme="minorHAnsi" w:cstheme="minorHAnsi"/>
                <w:b/>
                <w:szCs w:val="21"/>
                <w:u w:val="single"/>
              </w:rPr>
              <w:t>feedback</w:t>
            </w:r>
            <w:r w:rsidR="00206CB4">
              <w:rPr>
                <w:rFonts w:asciiTheme="minorHAnsi" w:hAnsiTheme="minorHAnsi" w:cstheme="minorHAnsi"/>
                <w:szCs w:val="21"/>
              </w:rPr>
              <w:t xml:space="preserve">. Access the </w:t>
            </w:r>
            <w:hyperlink r:id="rId48" w:history="1">
              <w:r w:rsidRPr="00206CB4">
                <w:rPr>
                  <w:rStyle w:val="Hyperlink"/>
                  <w:rFonts w:asciiTheme="minorHAnsi" w:hAnsiTheme="minorHAnsi" w:cstheme="minorHAnsi"/>
                  <w:szCs w:val="21"/>
                </w:rPr>
                <w:t>evaluation form</w:t>
              </w:r>
              <w:r w:rsidR="00206CB4" w:rsidRPr="00206CB4">
                <w:rPr>
                  <w:rStyle w:val="Hyperlink"/>
                  <w:rFonts w:asciiTheme="minorHAnsi" w:hAnsiTheme="minorHAnsi" w:cstheme="minorHAnsi"/>
                  <w:szCs w:val="21"/>
                </w:rPr>
                <w:t xml:space="preserve"> here</w:t>
              </w:r>
            </w:hyperlink>
            <w:r>
              <w:rPr>
                <w:rFonts w:asciiTheme="minorHAnsi" w:hAnsiTheme="minorHAnsi" w:cstheme="minorHAnsi"/>
                <w:szCs w:val="21"/>
              </w:rPr>
              <w:t>.</w:t>
            </w:r>
            <w:r w:rsidR="00206CB4">
              <w:rPr>
                <w:rFonts w:asciiTheme="minorHAnsi" w:hAnsiTheme="minorHAnsi" w:cstheme="minorHAnsi"/>
                <w:szCs w:val="21"/>
              </w:rPr>
              <w:t xml:space="preserve">  Please return to </w:t>
            </w:r>
            <w:hyperlink r:id="rId49" w:history="1">
              <w:r w:rsidR="001218B8" w:rsidRPr="00D239B5">
                <w:rPr>
                  <w:rStyle w:val="Hyperlink"/>
                  <w:rFonts w:asciiTheme="minorHAnsi" w:hAnsiTheme="minorHAnsi" w:cstheme="minorHAnsi"/>
                  <w:szCs w:val="21"/>
                </w:rPr>
                <w:t>safeguardingpartnership@swindon.gov.uk</w:t>
              </w:r>
            </w:hyperlink>
            <w:r w:rsidR="00206CB4">
              <w:rPr>
                <w:rFonts w:asciiTheme="minorHAnsi" w:hAnsiTheme="minorHAnsi" w:cstheme="minorHAnsi"/>
                <w:szCs w:val="21"/>
              </w:rPr>
              <w:t xml:space="preserve"> </w:t>
            </w:r>
          </w:p>
        </w:tc>
      </w:tr>
      <w:tr w:rsidR="00124607" w:rsidTr="001E18F0">
        <w:trPr>
          <w:trHeight w:val="1210"/>
        </w:trPr>
        <w:tc>
          <w:tcPr>
            <w:tcW w:w="2873" w:type="dxa"/>
            <w:vAlign w:val="center"/>
          </w:tcPr>
          <w:p w:rsidR="00371CD5" w:rsidRPr="004B44B4" w:rsidRDefault="00B61F74" w:rsidP="00371CD5">
            <w:pPr>
              <w:jc w:val="center"/>
              <w:rPr>
                <w:b/>
              </w:rPr>
            </w:pPr>
            <w:r>
              <w:rPr>
                <w:noProof/>
                <w:lang w:eastAsia="en-GB"/>
              </w:rPr>
              <w:drawing>
                <wp:inline distT="0" distB="0" distL="0" distR="0" wp14:anchorId="2D2BD120" wp14:editId="73E3925D">
                  <wp:extent cx="847725" cy="8477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04375" cy="904375"/>
                          </a:xfrm>
                          <a:prstGeom prst="rect">
                            <a:avLst/>
                          </a:prstGeom>
                          <a:noFill/>
                          <a:ln>
                            <a:noFill/>
                          </a:ln>
                        </pic:spPr>
                      </pic:pic>
                    </a:graphicData>
                  </a:graphic>
                </wp:inline>
              </w:drawing>
            </w:r>
          </w:p>
        </w:tc>
        <w:tc>
          <w:tcPr>
            <w:tcW w:w="7612" w:type="dxa"/>
            <w:vAlign w:val="center"/>
          </w:tcPr>
          <w:p w:rsidR="00371CD5" w:rsidRPr="001E18F0" w:rsidRDefault="00371CD5" w:rsidP="00371CD5">
            <w:pPr>
              <w:rPr>
                <w:rFonts w:asciiTheme="minorHAnsi" w:hAnsiTheme="minorHAnsi" w:cstheme="minorHAnsi"/>
                <w:color w:val="333333"/>
                <w:szCs w:val="21"/>
              </w:rPr>
            </w:pPr>
            <w:r w:rsidRPr="001E18F0">
              <w:rPr>
                <w:rFonts w:asciiTheme="minorHAnsi" w:hAnsiTheme="minorHAnsi" w:cstheme="minorHAnsi"/>
                <w:szCs w:val="21"/>
              </w:rPr>
              <w:t xml:space="preserve">If you have any information that can be included within the fortnightly SSP newsletter please send the information to the </w:t>
            </w:r>
            <w:hyperlink r:id="rId51" w:history="1">
              <w:r w:rsidRPr="001E18F0">
                <w:rPr>
                  <w:rFonts w:asciiTheme="minorHAnsi" w:hAnsiTheme="minorHAnsi" w:cstheme="minorHAnsi"/>
                  <w:color w:val="0563C1" w:themeColor="hyperlink"/>
                  <w:szCs w:val="21"/>
                  <w:u w:val="single"/>
                </w:rPr>
                <w:t>safeguardingpartnership@swindon.gov.uk</w:t>
              </w:r>
            </w:hyperlink>
          </w:p>
          <w:p w:rsidR="00371CD5" w:rsidRPr="008322E0" w:rsidRDefault="00371CD5" w:rsidP="00371CD5"/>
        </w:tc>
      </w:tr>
      <w:tr w:rsidR="00124607" w:rsidTr="00A844C0">
        <w:trPr>
          <w:trHeight w:val="80"/>
        </w:trPr>
        <w:tc>
          <w:tcPr>
            <w:tcW w:w="2873" w:type="dxa"/>
            <w:shd w:val="clear" w:color="auto" w:fill="2F5496" w:themeFill="accent5" w:themeFillShade="BF"/>
          </w:tcPr>
          <w:p w:rsidR="00371CD5" w:rsidRPr="00202E4E" w:rsidRDefault="00371CD5" w:rsidP="00371CD5">
            <w:pPr>
              <w:jc w:val="center"/>
              <w:rPr>
                <w:b/>
                <w:color w:val="BF8F00" w:themeColor="accent4" w:themeShade="BF"/>
                <w:sz w:val="2"/>
              </w:rPr>
            </w:pPr>
          </w:p>
        </w:tc>
        <w:tc>
          <w:tcPr>
            <w:tcW w:w="7612" w:type="dxa"/>
            <w:shd w:val="clear" w:color="auto" w:fill="2F5496" w:themeFill="accent5" w:themeFillShade="BF"/>
            <w:vAlign w:val="center"/>
          </w:tcPr>
          <w:p w:rsidR="00371CD5" w:rsidRPr="00202E4E" w:rsidRDefault="00371CD5" w:rsidP="00371CD5">
            <w:pPr>
              <w:rPr>
                <w:sz w:val="8"/>
              </w:rPr>
            </w:pPr>
          </w:p>
        </w:tc>
      </w:tr>
      <w:tr w:rsidR="002977EC" w:rsidTr="00EF16E0">
        <w:trPr>
          <w:trHeight w:val="1647"/>
        </w:trPr>
        <w:tc>
          <w:tcPr>
            <w:tcW w:w="10485" w:type="dxa"/>
            <w:gridSpan w:val="2"/>
            <w:shd w:val="clear" w:color="auto" w:fill="0070C0"/>
            <w:vAlign w:val="center"/>
          </w:tcPr>
          <w:p w:rsidR="00371CD5" w:rsidRDefault="00371CD5" w:rsidP="00371CD5">
            <w:pPr>
              <w:jc w:val="center"/>
              <w:rPr>
                <w:rStyle w:val="Hyperlink"/>
                <w:color w:val="FFFFFF" w:themeColor="background1"/>
                <w:lang w:eastAsia="en-GB"/>
              </w:rPr>
            </w:pPr>
            <w:r>
              <w:rPr>
                <w:noProof/>
                <w:color w:val="FFFFFF" w:themeColor="background1"/>
                <w:lang w:eastAsia="en-GB"/>
              </w:rPr>
              <mc:AlternateContent>
                <mc:Choice Requires="wps">
                  <w:drawing>
                    <wp:anchor distT="0" distB="0" distL="114300" distR="114300" simplePos="0" relativeHeight="251679744" behindDoc="0" locked="0" layoutInCell="1" allowOverlap="1" wp14:anchorId="2D357BF0" wp14:editId="77E0687F">
                      <wp:simplePos x="0" y="0"/>
                      <wp:positionH relativeFrom="column">
                        <wp:posOffset>4027170</wp:posOffset>
                      </wp:positionH>
                      <wp:positionV relativeFrom="paragraph">
                        <wp:posOffset>157480</wp:posOffset>
                      </wp:positionV>
                      <wp:extent cx="3619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rgbClr val="0070C0"/>
                              </a:solidFill>
                              <a:ln w="6350">
                                <a:noFill/>
                              </a:ln>
                            </wps:spPr>
                            <wps:txbx>
                              <w:txbxContent>
                                <w:p w:rsidR="00371CD5" w:rsidRDefault="00371CD5">
                                  <w:r>
                                    <w:rPr>
                                      <w:noProof/>
                                      <w:lang w:eastAsia="en-GB"/>
                                    </w:rPr>
                                    <w:drawing>
                                      <wp:inline distT="0" distB="0" distL="0" distR="0" wp14:anchorId="5161A227" wp14:editId="29969320">
                                        <wp:extent cx="191770" cy="16385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1770" cy="163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7BF0" id="Text Box 21" o:spid="_x0000_s1027" type="#_x0000_t202" style="position:absolute;left:0;text-align:left;margin-left:317.1pt;margin-top:12.4pt;width:28.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" fillcolor="#0070c0" stroked="f" strokeweight=".5pt">
                      <v:textbox>
                        <w:txbxContent>
                          <w:p w:rsidR="00371CD5" w:rsidRDefault="00371CD5">
                            <w:r>
                              <w:rPr>
                                <w:noProof/>
                                <w:lang w:eastAsia="en-GB"/>
                              </w:rPr>
                              <w:drawing>
                                <wp:inline distT="0" distB="0" distL="0" distR="0" wp14:anchorId="5161A227" wp14:editId="29969320">
                                  <wp:extent cx="191770" cy="16385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91770" cy="163854"/>
                                          </a:xfrm>
                                          <a:prstGeom prst="rect">
                                            <a:avLst/>
                                          </a:prstGeom>
                                        </pic:spPr>
                                      </pic:pic>
                                    </a:graphicData>
                                  </a:graphic>
                                </wp:inline>
                              </w:drawing>
                            </w:r>
                          </w:p>
                        </w:txbxContent>
                      </v:textbox>
                    </v:shape>
                  </w:pict>
                </mc:Fallback>
              </mc:AlternateContent>
            </w:r>
            <w:r>
              <w:rPr>
                <w:color w:val="FFFFFF" w:themeColor="background1"/>
              </w:rPr>
              <w:sym w:font="Wingdings" w:char="F02A"/>
            </w:r>
            <w:r>
              <w:rPr>
                <w:color w:val="FFFFFF" w:themeColor="background1"/>
              </w:rPr>
              <w:t xml:space="preserve"> </w:t>
            </w:r>
            <w:hyperlink r:id="rId54"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38"/>
            </w:r>
            <w:r>
              <w:rPr>
                <w:color w:val="FFFFFF" w:themeColor="background1"/>
              </w:rPr>
              <w:t xml:space="preserve"> </w:t>
            </w:r>
            <w:hyperlink r:id="rId55"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28"/>
            </w:r>
            <w:r>
              <w:rPr>
                <w:color w:val="FFFFFF" w:themeColor="background1"/>
              </w:rPr>
              <w:t xml:space="preserve">  </w:t>
            </w:r>
            <w:r w:rsidRPr="009317A2">
              <w:rPr>
                <w:color w:val="FFFFFF" w:themeColor="background1"/>
              </w:rPr>
              <w:t>01793 463803</w:t>
            </w:r>
            <w:r>
              <w:rPr>
                <w:color w:val="FFFFFF" w:themeColor="background1"/>
              </w:rPr>
              <w:t xml:space="preserve">                                                                            </w:t>
            </w:r>
            <w:hyperlink r:id="rId56" w:history="1">
              <w:r w:rsidRPr="009730F7">
                <w:rPr>
                  <w:rStyle w:val="Hyperlink"/>
                  <w:color w:val="FFFFFF" w:themeColor="background1"/>
                  <w:lang w:eastAsia="en-GB"/>
                </w:rPr>
                <w:t>@Swindonsafegua1</w:t>
              </w:r>
            </w:hyperlink>
          </w:p>
          <w:p w:rsidR="00371CD5" w:rsidRPr="00EF16E0" w:rsidRDefault="00371CD5" w:rsidP="00371CD5">
            <w:pPr>
              <w:jc w:val="center"/>
              <w:rPr>
                <w:rStyle w:val="Hyperlink"/>
                <w:color w:val="FFFFFF" w:themeColor="background1"/>
                <w:sz w:val="16"/>
                <w:lang w:eastAsia="en-GB"/>
              </w:rPr>
            </w:pPr>
          </w:p>
          <w:p w:rsidR="00371CD5" w:rsidRPr="009730F7" w:rsidRDefault="00371CD5" w:rsidP="00371CD5">
            <w:pPr>
              <w:jc w:val="center"/>
              <w:rPr>
                <w:color w:val="FFFFFF" w:themeColor="background1"/>
              </w:rPr>
            </w:pPr>
            <w:r w:rsidRPr="00EF16E0">
              <w:rPr>
                <w:color w:val="FFFFFF" w:themeColor="background1"/>
              </w:rPr>
              <w:t xml:space="preserve">Although we are still not able to put on any face-to-face training we are expanding the range of topics for which we have on-line learning available through our website: </w:t>
            </w:r>
            <w:hyperlink r:id="rId57" w:history="1">
              <w:r w:rsidRPr="00EF16E0">
                <w:rPr>
                  <w:rStyle w:val="Hyperlink"/>
                  <w:color w:val="FFFFFF" w:themeColor="background1"/>
                </w:rPr>
                <w:t>safeguardingpartnership.swindon.gov.uk/training</w:t>
              </w:r>
            </w:hyperlink>
          </w:p>
        </w:tc>
      </w:tr>
    </w:tbl>
    <w:p w:rsidR="00CE355C" w:rsidRPr="00EF16E0" w:rsidRDefault="00CE355C" w:rsidP="009608C8">
      <w:pPr>
        <w:jc w:val="center"/>
        <w:rPr>
          <w:rFonts w:cs="Arial"/>
        </w:rPr>
      </w:pPr>
    </w:p>
    <w:sectPr w:rsidR="00CE355C" w:rsidRPr="00EF16E0" w:rsidSect="00ED7D43">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157"/>
    <w:multiLevelType w:val="hybridMultilevel"/>
    <w:tmpl w:val="4ACE4BC6"/>
    <w:lvl w:ilvl="0" w:tplc="90E656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4D3A"/>
    <w:multiLevelType w:val="hybridMultilevel"/>
    <w:tmpl w:val="DF1AAD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751310D"/>
    <w:multiLevelType w:val="hybridMultilevel"/>
    <w:tmpl w:val="7F2424F4"/>
    <w:lvl w:ilvl="0" w:tplc="0E4E04D8">
      <w:start w:val="1"/>
      <w:numFmt w:val="decimal"/>
      <w:lvlText w:val="%1."/>
      <w:lvlJc w:val="left"/>
      <w:pPr>
        <w:ind w:left="785" w:hanging="360"/>
      </w:pPr>
      <w:rPr>
        <w:color w:val="000000"/>
      </w:rPr>
    </w:lvl>
    <w:lvl w:ilvl="1" w:tplc="C15A1F38">
      <w:start w:val="1"/>
      <w:numFmt w:val="decimal"/>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B53945"/>
    <w:multiLevelType w:val="hybridMultilevel"/>
    <w:tmpl w:val="A5040D6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4" w15:restartNumberingAfterBreak="0">
    <w:nsid w:val="21476493"/>
    <w:multiLevelType w:val="multilevel"/>
    <w:tmpl w:val="0F907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70450"/>
    <w:multiLevelType w:val="hybridMultilevel"/>
    <w:tmpl w:val="4B50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12223"/>
    <w:multiLevelType w:val="hybridMultilevel"/>
    <w:tmpl w:val="A65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A54ED"/>
    <w:multiLevelType w:val="hybridMultilevel"/>
    <w:tmpl w:val="8B06E2AC"/>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997E74"/>
    <w:multiLevelType w:val="multilevel"/>
    <w:tmpl w:val="04C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9420C"/>
    <w:multiLevelType w:val="hybridMultilevel"/>
    <w:tmpl w:val="FF42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03950"/>
    <w:multiLevelType w:val="hybridMultilevel"/>
    <w:tmpl w:val="E6D6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71203"/>
    <w:multiLevelType w:val="hybridMultilevel"/>
    <w:tmpl w:val="45DA3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A92566"/>
    <w:multiLevelType w:val="hybridMultilevel"/>
    <w:tmpl w:val="03CC0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162B2F"/>
    <w:multiLevelType w:val="hybridMultilevel"/>
    <w:tmpl w:val="A59E3056"/>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9123CD"/>
    <w:multiLevelType w:val="multilevel"/>
    <w:tmpl w:val="361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E526D3"/>
    <w:multiLevelType w:val="hybridMultilevel"/>
    <w:tmpl w:val="408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C4590"/>
    <w:multiLevelType w:val="hybridMultilevel"/>
    <w:tmpl w:val="8E109C0C"/>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D103B5"/>
    <w:multiLevelType w:val="hybridMultilevel"/>
    <w:tmpl w:val="B004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57301"/>
    <w:multiLevelType w:val="hybridMultilevel"/>
    <w:tmpl w:val="7CB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76CD7"/>
    <w:multiLevelType w:val="hybridMultilevel"/>
    <w:tmpl w:val="27484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6E0C23"/>
    <w:multiLevelType w:val="hybridMultilevel"/>
    <w:tmpl w:val="9C8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436FC7"/>
    <w:multiLevelType w:val="hybridMultilevel"/>
    <w:tmpl w:val="F086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4"/>
  </w:num>
  <w:num w:numId="4">
    <w:abstractNumId w:val="17"/>
  </w:num>
  <w:num w:numId="5">
    <w:abstractNumId w:val="20"/>
  </w:num>
  <w:num w:numId="6">
    <w:abstractNumId w:val="9"/>
  </w:num>
  <w:num w:numId="7">
    <w:abstractNumId w:val="6"/>
  </w:num>
  <w:num w:numId="8">
    <w:abstractNumId w:val="18"/>
  </w:num>
  <w:num w:numId="9">
    <w:abstractNumId w:val="8"/>
  </w:num>
  <w:num w:numId="10">
    <w:abstractNumId w:val="10"/>
  </w:num>
  <w:num w:numId="11">
    <w:abstractNumId w:val="5"/>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9"/>
  </w:num>
  <w:num w:numId="17">
    <w:abstractNumId w:val="15"/>
  </w:num>
  <w:num w:numId="18">
    <w:abstractNumId w:val="12"/>
  </w:num>
  <w:num w:numId="19">
    <w:abstractNumId w:val="16"/>
  </w:num>
  <w:num w:numId="20">
    <w:abstractNumId w:val="7"/>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15"/>
    <w:rsid w:val="0001534E"/>
    <w:rsid w:val="00075DCF"/>
    <w:rsid w:val="000A0666"/>
    <w:rsid w:val="000B34C2"/>
    <w:rsid w:val="001057DC"/>
    <w:rsid w:val="001218B8"/>
    <w:rsid w:val="00124607"/>
    <w:rsid w:val="00134064"/>
    <w:rsid w:val="00145B2F"/>
    <w:rsid w:val="001A1A51"/>
    <w:rsid w:val="001B264A"/>
    <w:rsid w:val="001B3893"/>
    <w:rsid w:val="001B6B17"/>
    <w:rsid w:val="001C0770"/>
    <w:rsid w:val="001E055E"/>
    <w:rsid w:val="001E18F0"/>
    <w:rsid w:val="001F115F"/>
    <w:rsid w:val="001F27B2"/>
    <w:rsid w:val="001F2EB1"/>
    <w:rsid w:val="001F4E15"/>
    <w:rsid w:val="00202E4E"/>
    <w:rsid w:val="002057F8"/>
    <w:rsid w:val="00206CB4"/>
    <w:rsid w:val="00224995"/>
    <w:rsid w:val="002546B5"/>
    <w:rsid w:val="002902AC"/>
    <w:rsid w:val="002906FC"/>
    <w:rsid w:val="002977EC"/>
    <w:rsid w:val="002E5F4F"/>
    <w:rsid w:val="00331136"/>
    <w:rsid w:val="00333FD0"/>
    <w:rsid w:val="00347FA0"/>
    <w:rsid w:val="00355D8F"/>
    <w:rsid w:val="00371CD5"/>
    <w:rsid w:val="003953C1"/>
    <w:rsid w:val="00396569"/>
    <w:rsid w:val="003C1A91"/>
    <w:rsid w:val="003E7D9B"/>
    <w:rsid w:val="00414149"/>
    <w:rsid w:val="00441E40"/>
    <w:rsid w:val="004B09A7"/>
    <w:rsid w:val="004B44B4"/>
    <w:rsid w:val="00516DAE"/>
    <w:rsid w:val="00520D62"/>
    <w:rsid w:val="00524DE6"/>
    <w:rsid w:val="00531BB6"/>
    <w:rsid w:val="00535DC0"/>
    <w:rsid w:val="005506D0"/>
    <w:rsid w:val="00552FB0"/>
    <w:rsid w:val="00582F4B"/>
    <w:rsid w:val="005920C4"/>
    <w:rsid w:val="005A67DB"/>
    <w:rsid w:val="005C0F4D"/>
    <w:rsid w:val="005C21BA"/>
    <w:rsid w:val="005F1B92"/>
    <w:rsid w:val="005F3A88"/>
    <w:rsid w:val="00602CD6"/>
    <w:rsid w:val="0061692A"/>
    <w:rsid w:val="0062440C"/>
    <w:rsid w:val="0063499C"/>
    <w:rsid w:val="006634D5"/>
    <w:rsid w:val="0068110B"/>
    <w:rsid w:val="006972E3"/>
    <w:rsid w:val="006B74EC"/>
    <w:rsid w:val="00737F81"/>
    <w:rsid w:val="00745F5C"/>
    <w:rsid w:val="0075211A"/>
    <w:rsid w:val="007617EA"/>
    <w:rsid w:val="00765465"/>
    <w:rsid w:val="0079648B"/>
    <w:rsid w:val="007A11F8"/>
    <w:rsid w:val="007B7397"/>
    <w:rsid w:val="007C0049"/>
    <w:rsid w:val="007C4EE6"/>
    <w:rsid w:val="007E549D"/>
    <w:rsid w:val="007F0EEB"/>
    <w:rsid w:val="0080302C"/>
    <w:rsid w:val="00807135"/>
    <w:rsid w:val="0081289C"/>
    <w:rsid w:val="008322E0"/>
    <w:rsid w:val="00841F78"/>
    <w:rsid w:val="00853BDC"/>
    <w:rsid w:val="00860F6C"/>
    <w:rsid w:val="00871E93"/>
    <w:rsid w:val="0087507B"/>
    <w:rsid w:val="008C35A3"/>
    <w:rsid w:val="008D0C16"/>
    <w:rsid w:val="009317A2"/>
    <w:rsid w:val="0094401B"/>
    <w:rsid w:val="0095085D"/>
    <w:rsid w:val="009608C8"/>
    <w:rsid w:val="009629FA"/>
    <w:rsid w:val="009730F7"/>
    <w:rsid w:val="00986927"/>
    <w:rsid w:val="00992FB3"/>
    <w:rsid w:val="00994BAC"/>
    <w:rsid w:val="009B5830"/>
    <w:rsid w:val="009B5EFE"/>
    <w:rsid w:val="00A00F01"/>
    <w:rsid w:val="00A13164"/>
    <w:rsid w:val="00A14909"/>
    <w:rsid w:val="00A272E6"/>
    <w:rsid w:val="00A2739D"/>
    <w:rsid w:val="00A31006"/>
    <w:rsid w:val="00A34003"/>
    <w:rsid w:val="00A40528"/>
    <w:rsid w:val="00A4106F"/>
    <w:rsid w:val="00A431AF"/>
    <w:rsid w:val="00A5460A"/>
    <w:rsid w:val="00A80C97"/>
    <w:rsid w:val="00A844C0"/>
    <w:rsid w:val="00AA0570"/>
    <w:rsid w:val="00AA770C"/>
    <w:rsid w:val="00AD4440"/>
    <w:rsid w:val="00AE4DEF"/>
    <w:rsid w:val="00AF312D"/>
    <w:rsid w:val="00B12638"/>
    <w:rsid w:val="00B61F74"/>
    <w:rsid w:val="00B64ABC"/>
    <w:rsid w:val="00B86A14"/>
    <w:rsid w:val="00BC3FCC"/>
    <w:rsid w:val="00BC58EC"/>
    <w:rsid w:val="00BD7A1B"/>
    <w:rsid w:val="00BF3252"/>
    <w:rsid w:val="00C4354D"/>
    <w:rsid w:val="00C45E99"/>
    <w:rsid w:val="00C72604"/>
    <w:rsid w:val="00C75229"/>
    <w:rsid w:val="00C808AE"/>
    <w:rsid w:val="00CC4ECC"/>
    <w:rsid w:val="00CE355C"/>
    <w:rsid w:val="00D1339B"/>
    <w:rsid w:val="00D84FA6"/>
    <w:rsid w:val="00D856FD"/>
    <w:rsid w:val="00D9355C"/>
    <w:rsid w:val="00DA14AB"/>
    <w:rsid w:val="00DA530A"/>
    <w:rsid w:val="00DC6C48"/>
    <w:rsid w:val="00DC7DC1"/>
    <w:rsid w:val="00DF4510"/>
    <w:rsid w:val="00E0151B"/>
    <w:rsid w:val="00E170C0"/>
    <w:rsid w:val="00E23839"/>
    <w:rsid w:val="00E31347"/>
    <w:rsid w:val="00E31DA8"/>
    <w:rsid w:val="00E47E48"/>
    <w:rsid w:val="00E529F7"/>
    <w:rsid w:val="00E566EE"/>
    <w:rsid w:val="00EB4796"/>
    <w:rsid w:val="00EC585A"/>
    <w:rsid w:val="00ED3304"/>
    <w:rsid w:val="00ED7D43"/>
    <w:rsid w:val="00EE6BC9"/>
    <w:rsid w:val="00EF16E0"/>
    <w:rsid w:val="00EF2374"/>
    <w:rsid w:val="00F00973"/>
    <w:rsid w:val="00F106A4"/>
    <w:rsid w:val="00F21D61"/>
    <w:rsid w:val="00F235D5"/>
    <w:rsid w:val="00FA263B"/>
    <w:rsid w:val="00FA544F"/>
    <w:rsid w:val="00FB5B59"/>
    <w:rsid w:val="00FE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B2F7-8342-4231-AC62-E826A34C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7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C1A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semiHidden/>
    <w:unhideWhenUsed/>
    <w:qFormat/>
    <w:rsid w:val="00CE355C"/>
    <w:pPr>
      <w:spacing w:line="300" w:lineRule="atLeast"/>
      <w:outlineLvl w:val="4"/>
    </w:pPr>
    <w:rPr>
      <w:rFonts w:ascii="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F4E15"/>
    <w:pPr>
      <w:autoSpaceDE w:val="0"/>
      <w:autoSpaceDN w:val="0"/>
    </w:pPr>
    <w:rPr>
      <w:color w:val="000000"/>
      <w:sz w:val="24"/>
      <w:szCs w:val="24"/>
    </w:rPr>
  </w:style>
  <w:style w:type="character" w:styleId="Hyperlink">
    <w:name w:val="Hyperlink"/>
    <w:basedOn w:val="DefaultParagraphFont"/>
    <w:uiPriority w:val="99"/>
    <w:unhideWhenUsed/>
    <w:rsid w:val="0001534E"/>
    <w:rPr>
      <w:color w:val="0563C1" w:themeColor="hyperlink"/>
      <w:u w:val="single"/>
    </w:rPr>
  </w:style>
  <w:style w:type="paragraph" w:styleId="ListParagraph">
    <w:name w:val="List Paragraph"/>
    <w:basedOn w:val="Normal"/>
    <w:uiPriority w:val="34"/>
    <w:qFormat/>
    <w:rsid w:val="00347FA0"/>
    <w:pPr>
      <w:ind w:left="720"/>
      <w:contextualSpacing/>
    </w:pPr>
  </w:style>
  <w:style w:type="table" w:styleId="TableGrid">
    <w:name w:val="Table Grid"/>
    <w:basedOn w:val="TableNormal"/>
    <w:uiPriority w:val="39"/>
    <w:rsid w:val="0096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995"/>
    <w:rPr>
      <w:b/>
      <w:bCs/>
    </w:rPr>
  </w:style>
  <w:style w:type="paragraph" w:styleId="NoSpacing">
    <w:name w:val="No Spacing"/>
    <w:uiPriority w:val="1"/>
    <w:qFormat/>
    <w:rsid w:val="00CE355C"/>
    <w:pPr>
      <w:spacing w:after="0" w:line="240" w:lineRule="auto"/>
    </w:pPr>
    <w:rPr>
      <w:rFonts w:ascii="Calibri" w:hAnsi="Calibri" w:cs="Times New Roman"/>
    </w:rPr>
  </w:style>
  <w:style w:type="character" w:customStyle="1" w:styleId="Heading5Char">
    <w:name w:val="Heading 5 Char"/>
    <w:basedOn w:val="DefaultParagraphFont"/>
    <w:link w:val="Heading5"/>
    <w:uiPriority w:val="9"/>
    <w:semiHidden/>
    <w:rsid w:val="00CE355C"/>
    <w:rPr>
      <w:rFonts w:ascii="Arial" w:hAnsi="Arial" w:cs="Arial"/>
      <w:sz w:val="21"/>
      <w:szCs w:val="21"/>
      <w:lang w:eastAsia="en-GB"/>
    </w:rPr>
  </w:style>
  <w:style w:type="paragraph" w:styleId="NormalWeb">
    <w:name w:val="Normal (Web)"/>
    <w:basedOn w:val="Normal"/>
    <w:uiPriority w:val="99"/>
    <w:unhideWhenUsed/>
    <w:rsid w:val="00CE355C"/>
    <w:pPr>
      <w:spacing w:line="270" w:lineRule="atLeast"/>
    </w:pPr>
    <w:rPr>
      <w:rFonts w:ascii="Arial" w:hAnsi="Arial" w:cs="Arial"/>
      <w:sz w:val="18"/>
      <w:szCs w:val="18"/>
      <w:lang w:eastAsia="en-GB"/>
    </w:rPr>
  </w:style>
  <w:style w:type="character" w:styleId="FollowedHyperlink">
    <w:name w:val="FollowedHyperlink"/>
    <w:basedOn w:val="DefaultParagraphFont"/>
    <w:uiPriority w:val="99"/>
    <w:semiHidden/>
    <w:unhideWhenUsed/>
    <w:rsid w:val="00871E93"/>
    <w:rPr>
      <w:color w:val="954F72" w:themeColor="followedHyperlink"/>
      <w:u w:val="single"/>
    </w:rPr>
  </w:style>
  <w:style w:type="character" w:customStyle="1" w:styleId="content-blocktext--child">
    <w:name w:val="content-block__text--child"/>
    <w:basedOn w:val="DefaultParagraphFont"/>
    <w:rsid w:val="008322E0"/>
  </w:style>
  <w:style w:type="character" w:styleId="CommentReference">
    <w:name w:val="annotation reference"/>
    <w:basedOn w:val="DefaultParagraphFont"/>
    <w:uiPriority w:val="99"/>
    <w:semiHidden/>
    <w:unhideWhenUsed/>
    <w:rsid w:val="00B64ABC"/>
    <w:rPr>
      <w:sz w:val="16"/>
      <w:szCs w:val="16"/>
    </w:rPr>
  </w:style>
  <w:style w:type="paragraph" w:styleId="CommentText">
    <w:name w:val="annotation text"/>
    <w:basedOn w:val="Normal"/>
    <w:link w:val="CommentTextChar"/>
    <w:uiPriority w:val="99"/>
    <w:semiHidden/>
    <w:unhideWhenUsed/>
    <w:rsid w:val="00B64ABC"/>
    <w:rPr>
      <w:sz w:val="20"/>
      <w:szCs w:val="20"/>
    </w:rPr>
  </w:style>
  <w:style w:type="character" w:customStyle="1" w:styleId="CommentTextChar">
    <w:name w:val="Comment Text Char"/>
    <w:basedOn w:val="DefaultParagraphFont"/>
    <w:link w:val="CommentText"/>
    <w:uiPriority w:val="99"/>
    <w:semiHidden/>
    <w:rsid w:val="00B64A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ABC"/>
    <w:rPr>
      <w:b/>
      <w:bCs/>
    </w:rPr>
  </w:style>
  <w:style w:type="character" w:customStyle="1" w:styleId="CommentSubjectChar">
    <w:name w:val="Comment Subject Char"/>
    <w:basedOn w:val="CommentTextChar"/>
    <w:link w:val="CommentSubject"/>
    <w:uiPriority w:val="99"/>
    <w:semiHidden/>
    <w:rsid w:val="00B64ABC"/>
    <w:rPr>
      <w:rFonts w:ascii="Calibri" w:hAnsi="Calibri" w:cs="Times New Roman"/>
      <w:b/>
      <w:bCs/>
      <w:sz w:val="20"/>
      <w:szCs w:val="20"/>
    </w:rPr>
  </w:style>
  <w:style w:type="paragraph" w:styleId="BalloonText">
    <w:name w:val="Balloon Text"/>
    <w:basedOn w:val="Normal"/>
    <w:link w:val="BalloonTextChar"/>
    <w:uiPriority w:val="99"/>
    <w:semiHidden/>
    <w:unhideWhenUsed/>
    <w:rsid w:val="00B6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BC"/>
    <w:rPr>
      <w:rFonts w:ascii="Segoe UI" w:hAnsi="Segoe UI" w:cs="Segoe UI"/>
      <w:sz w:val="18"/>
      <w:szCs w:val="18"/>
    </w:rPr>
  </w:style>
  <w:style w:type="character" w:customStyle="1" w:styleId="Heading1Char">
    <w:name w:val="Heading 1 Char"/>
    <w:basedOn w:val="DefaultParagraphFont"/>
    <w:link w:val="Heading1"/>
    <w:uiPriority w:val="9"/>
    <w:rsid w:val="00DC7DC1"/>
    <w:rPr>
      <w:rFonts w:asciiTheme="majorHAnsi" w:eastAsiaTheme="majorEastAsia" w:hAnsiTheme="majorHAnsi" w:cstheme="majorBidi"/>
      <w:color w:val="2E74B5" w:themeColor="accent1" w:themeShade="BF"/>
      <w:sz w:val="32"/>
      <w:szCs w:val="32"/>
    </w:rPr>
  </w:style>
  <w:style w:type="paragraph" w:customStyle="1" w:styleId="h2">
    <w:name w:val="h2"/>
    <w:basedOn w:val="Normal"/>
    <w:uiPriority w:val="99"/>
    <w:semiHidden/>
    <w:rsid w:val="00DC7DC1"/>
    <w:pPr>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semiHidden/>
    <w:rsid w:val="003C1A91"/>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7C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264">
      <w:bodyDiv w:val="1"/>
      <w:marLeft w:val="0"/>
      <w:marRight w:val="0"/>
      <w:marTop w:val="0"/>
      <w:marBottom w:val="0"/>
      <w:divBdr>
        <w:top w:val="none" w:sz="0" w:space="0" w:color="auto"/>
        <w:left w:val="none" w:sz="0" w:space="0" w:color="auto"/>
        <w:bottom w:val="none" w:sz="0" w:space="0" w:color="auto"/>
        <w:right w:val="none" w:sz="0" w:space="0" w:color="auto"/>
      </w:divBdr>
    </w:div>
    <w:div w:id="103430639">
      <w:bodyDiv w:val="1"/>
      <w:marLeft w:val="0"/>
      <w:marRight w:val="0"/>
      <w:marTop w:val="0"/>
      <w:marBottom w:val="0"/>
      <w:divBdr>
        <w:top w:val="none" w:sz="0" w:space="0" w:color="auto"/>
        <w:left w:val="none" w:sz="0" w:space="0" w:color="auto"/>
        <w:bottom w:val="none" w:sz="0" w:space="0" w:color="auto"/>
        <w:right w:val="none" w:sz="0" w:space="0" w:color="auto"/>
      </w:divBdr>
      <w:divsChild>
        <w:div w:id="685255800">
          <w:marLeft w:val="0"/>
          <w:marRight w:val="0"/>
          <w:marTop w:val="0"/>
          <w:marBottom w:val="0"/>
          <w:divBdr>
            <w:top w:val="none" w:sz="0" w:space="0" w:color="auto"/>
            <w:left w:val="none" w:sz="0" w:space="0" w:color="auto"/>
            <w:bottom w:val="none" w:sz="0" w:space="0" w:color="auto"/>
            <w:right w:val="none" w:sz="0" w:space="0" w:color="auto"/>
          </w:divBdr>
        </w:div>
      </w:divsChild>
    </w:div>
    <w:div w:id="12597053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13">
          <w:marLeft w:val="0"/>
          <w:marRight w:val="0"/>
          <w:marTop w:val="0"/>
          <w:marBottom w:val="0"/>
          <w:divBdr>
            <w:top w:val="none" w:sz="0" w:space="0" w:color="auto"/>
            <w:left w:val="none" w:sz="0" w:space="0" w:color="auto"/>
            <w:bottom w:val="none" w:sz="0" w:space="0" w:color="auto"/>
            <w:right w:val="none" w:sz="0" w:space="0" w:color="auto"/>
          </w:divBdr>
        </w:div>
      </w:divsChild>
    </w:div>
    <w:div w:id="186527988">
      <w:bodyDiv w:val="1"/>
      <w:marLeft w:val="0"/>
      <w:marRight w:val="0"/>
      <w:marTop w:val="0"/>
      <w:marBottom w:val="0"/>
      <w:divBdr>
        <w:top w:val="none" w:sz="0" w:space="0" w:color="auto"/>
        <w:left w:val="none" w:sz="0" w:space="0" w:color="auto"/>
        <w:bottom w:val="none" w:sz="0" w:space="0" w:color="auto"/>
        <w:right w:val="none" w:sz="0" w:space="0" w:color="auto"/>
      </w:divBdr>
    </w:div>
    <w:div w:id="191653518">
      <w:bodyDiv w:val="1"/>
      <w:marLeft w:val="0"/>
      <w:marRight w:val="0"/>
      <w:marTop w:val="0"/>
      <w:marBottom w:val="0"/>
      <w:divBdr>
        <w:top w:val="none" w:sz="0" w:space="0" w:color="auto"/>
        <w:left w:val="none" w:sz="0" w:space="0" w:color="auto"/>
        <w:bottom w:val="none" w:sz="0" w:space="0" w:color="auto"/>
        <w:right w:val="none" w:sz="0" w:space="0" w:color="auto"/>
      </w:divBdr>
    </w:div>
    <w:div w:id="220529063">
      <w:bodyDiv w:val="1"/>
      <w:marLeft w:val="0"/>
      <w:marRight w:val="0"/>
      <w:marTop w:val="0"/>
      <w:marBottom w:val="0"/>
      <w:divBdr>
        <w:top w:val="none" w:sz="0" w:space="0" w:color="auto"/>
        <w:left w:val="none" w:sz="0" w:space="0" w:color="auto"/>
        <w:bottom w:val="none" w:sz="0" w:space="0" w:color="auto"/>
        <w:right w:val="none" w:sz="0" w:space="0" w:color="auto"/>
      </w:divBdr>
    </w:div>
    <w:div w:id="340864011">
      <w:bodyDiv w:val="1"/>
      <w:marLeft w:val="0"/>
      <w:marRight w:val="0"/>
      <w:marTop w:val="0"/>
      <w:marBottom w:val="0"/>
      <w:divBdr>
        <w:top w:val="none" w:sz="0" w:space="0" w:color="auto"/>
        <w:left w:val="none" w:sz="0" w:space="0" w:color="auto"/>
        <w:bottom w:val="none" w:sz="0" w:space="0" w:color="auto"/>
        <w:right w:val="none" w:sz="0" w:space="0" w:color="auto"/>
      </w:divBdr>
    </w:div>
    <w:div w:id="375659862">
      <w:bodyDiv w:val="1"/>
      <w:marLeft w:val="0"/>
      <w:marRight w:val="0"/>
      <w:marTop w:val="0"/>
      <w:marBottom w:val="0"/>
      <w:divBdr>
        <w:top w:val="none" w:sz="0" w:space="0" w:color="auto"/>
        <w:left w:val="none" w:sz="0" w:space="0" w:color="auto"/>
        <w:bottom w:val="none" w:sz="0" w:space="0" w:color="auto"/>
        <w:right w:val="none" w:sz="0" w:space="0" w:color="auto"/>
      </w:divBdr>
    </w:div>
    <w:div w:id="568662017">
      <w:bodyDiv w:val="1"/>
      <w:marLeft w:val="0"/>
      <w:marRight w:val="0"/>
      <w:marTop w:val="0"/>
      <w:marBottom w:val="0"/>
      <w:divBdr>
        <w:top w:val="none" w:sz="0" w:space="0" w:color="auto"/>
        <w:left w:val="none" w:sz="0" w:space="0" w:color="auto"/>
        <w:bottom w:val="none" w:sz="0" w:space="0" w:color="auto"/>
        <w:right w:val="none" w:sz="0" w:space="0" w:color="auto"/>
      </w:divBdr>
    </w:div>
    <w:div w:id="642080818">
      <w:bodyDiv w:val="1"/>
      <w:marLeft w:val="0"/>
      <w:marRight w:val="0"/>
      <w:marTop w:val="0"/>
      <w:marBottom w:val="0"/>
      <w:divBdr>
        <w:top w:val="none" w:sz="0" w:space="0" w:color="auto"/>
        <w:left w:val="none" w:sz="0" w:space="0" w:color="auto"/>
        <w:bottom w:val="none" w:sz="0" w:space="0" w:color="auto"/>
        <w:right w:val="none" w:sz="0" w:space="0" w:color="auto"/>
      </w:divBdr>
    </w:div>
    <w:div w:id="751043695">
      <w:bodyDiv w:val="1"/>
      <w:marLeft w:val="0"/>
      <w:marRight w:val="0"/>
      <w:marTop w:val="0"/>
      <w:marBottom w:val="0"/>
      <w:divBdr>
        <w:top w:val="none" w:sz="0" w:space="0" w:color="auto"/>
        <w:left w:val="none" w:sz="0" w:space="0" w:color="auto"/>
        <w:bottom w:val="none" w:sz="0" w:space="0" w:color="auto"/>
        <w:right w:val="none" w:sz="0" w:space="0" w:color="auto"/>
      </w:divBdr>
      <w:divsChild>
        <w:div w:id="2110463803">
          <w:marLeft w:val="0"/>
          <w:marRight w:val="0"/>
          <w:marTop w:val="0"/>
          <w:marBottom w:val="0"/>
          <w:divBdr>
            <w:top w:val="none" w:sz="0" w:space="0" w:color="auto"/>
            <w:left w:val="none" w:sz="0" w:space="0" w:color="auto"/>
            <w:bottom w:val="none" w:sz="0" w:space="0" w:color="auto"/>
            <w:right w:val="none" w:sz="0" w:space="0" w:color="auto"/>
          </w:divBdr>
        </w:div>
      </w:divsChild>
    </w:div>
    <w:div w:id="880436430">
      <w:bodyDiv w:val="1"/>
      <w:marLeft w:val="0"/>
      <w:marRight w:val="0"/>
      <w:marTop w:val="0"/>
      <w:marBottom w:val="0"/>
      <w:divBdr>
        <w:top w:val="none" w:sz="0" w:space="0" w:color="auto"/>
        <w:left w:val="none" w:sz="0" w:space="0" w:color="auto"/>
        <w:bottom w:val="none" w:sz="0" w:space="0" w:color="auto"/>
        <w:right w:val="none" w:sz="0" w:space="0" w:color="auto"/>
      </w:divBdr>
    </w:div>
    <w:div w:id="933980034">
      <w:bodyDiv w:val="1"/>
      <w:marLeft w:val="0"/>
      <w:marRight w:val="0"/>
      <w:marTop w:val="0"/>
      <w:marBottom w:val="0"/>
      <w:divBdr>
        <w:top w:val="none" w:sz="0" w:space="0" w:color="auto"/>
        <w:left w:val="none" w:sz="0" w:space="0" w:color="auto"/>
        <w:bottom w:val="none" w:sz="0" w:space="0" w:color="auto"/>
        <w:right w:val="none" w:sz="0" w:space="0" w:color="auto"/>
      </w:divBdr>
    </w:div>
    <w:div w:id="974749177">
      <w:bodyDiv w:val="1"/>
      <w:marLeft w:val="0"/>
      <w:marRight w:val="0"/>
      <w:marTop w:val="0"/>
      <w:marBottom w:val="0"/>
      <w:divBdr>
        <w:top w:val="none" w:sz="0" w:space="0" w:color="auto"/>
        <w:left w:val="none" w:sz="0" w:space="0" w:color="auto"/>
        <w:bottom w:val="none" w:sz="0" w:space="0" w:color="auto"/>
        <w:right w:val="none" w:sz="0" w:space="0" w:color="auto"/>
      </w:divBdr>
    </w:div>
    <w:div w:id="1047753236">
      <w:bodyDiv w:val="1"/>
      <w:marLeft w:val="0"/>
      <w:marRight w:val="0"/>
      <w:marTop w:val="0"/>
      <w:marBottom w:val="0"/>
      <w:divBdr>
        <w:top w:val="none" w:sz="0" w:space="0" w:color="auto"/>
        <w:left w:val="none" w:sz="0" w:space="0" w:color="auto"/>
        <w:bottom w:val="none" w:sz="0" w:space="0" w:color="auto"/>
        <w:right w:val="none" w:sz="0" w:space="0" w:color="auto"/>
      </w:divBdr>
      <w:divsChild>
        <w:div w:id="1376277882">
          <w:marLeft w:val="0"/>
          <w:marRight w:val="0"/>
          <w:marTop w:val="0"/>
          <w:marBottom w:val="0"/>
          <w:divBdr>
            <w:top w:val="none" w:sz="0" w:space="0" w:color="auto"/>
            <w:left w:val="none" w:sz="0" w:space="0" w:color="auto"/>
            <w:bottom w:val="none" w:sz="0" w:space="0" w:color="auto"/>
            <w:right w:val="none" w:sz="0" w:space="0" w:color="auto"/>
          </w:divBdr>
        </w:div>
      </w:divsChild>
    </w:div>
    <w:div w:id="1057321563">
      <w:bodyDiv w:val="1"/>
      <w:marLeft w:val="0"/>
      <w:marRight w:val="0"/>
      <w:marTop w:val="0"/>
      <w:marBottom w:val="0"/>
      <w:divBdr>
        <w:top w:val="none" w:sz="0" w:space="0" w:color="auto"/>
        <w:left w:val="none" w:sz="0" w:space="0" w:color="auto"/>
        <w:bottom w:val="none" w:sz="0" w:space="0" w:color="auto"/>
        <w:right w:val="none" w:sz="0" w:space="0" w:color="auto"/>
      </w:divBdr>
    </w:div>
    <w:div w:id="1063600096">
      <w:bodyDiv w:val="1"/>
      <w:marLeft w:val="0"/>
      <w:marRight w:val="0"/>
      <w:marTop w:val="0"/>
      <w:marBottom w:val="0"/>
      <w:divBdr>
        <w:top w:val="none" w:sz="0" w:space="0" w:color="auto"/>
        <w:left w:val="none" w:sz="0" w:space="0" w:color="auto"/>
        <w:bottom w:val="none" w:sz="0" w:space="0" w:color="auto"/>
        <w:right w:val="none" w:sz="0" w:space="0" w:color="auto"/>
      </w:divBdr>
    </w:div>
    <w:div w:id="1066026547">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92840504">
      <w:bodyDiv w:val="1"/>
      <w:marLeft w:val="0"/>
      <w:marRight w:val="0"/>
      <w:marTop w:val="0"/>
      <w:marBottom w:val="0"/>
      <w:divBdr>
        <w:top w:val="none" w:sz="0" w:space="0" w:color="auto"/>
        <w:left w:val="none" w:sz="0" w:space="0" w:color="auto"/>
        <w:bottom w:val="none" w:sz="0" w:space="0" w:color="auto"/>
        <w:right w:val="none" w:sz="0" w:space="0" w:color="auto"/>
      </w:divBdr>
    </w:div>
    <w:div w:id="1225527705">
      <w:bodyDiv w:val="1"/>
      <w:marLeft w:val="0"/>
      <w:marRight w:val="0"/>
      <w:marTop w:val="0"/>
      <w:marBottom w:val="0"/>
      <w:divBdr>
        <w:top w:val="none" w:sz="0" w:space="0" w:color="auto"/>
        <w:left w:val="none" w:sz="0" w:space="0" w:color="auto"/>
        <w:bottom w:val="none" w:sz="0" w:space="0" w:color="auto"/>
        <w:right w:val="none" w:sz="0" w:space="0" w:color="auto"/>
      </w:divBdr>
    </w:div>
    <w:div w:id="1298955103">
      <w:bodyDiv w:val="1"/>
      <w:marLeft w:val="0"/>
      <w:marRight w:val="0"/>
      <w:marTop w:val="0"/>
      <w:marBottom w:val="0"/>
      <w:divBdr>
        <w:top w:val="none" w:sz="0" w:space="0" w:color="auto"/>
        <w:left w:val="none" w:sz="0" w:space="0" w:color="auto"/>
        <w:bottom w:val="none" w:sz="0" w:space="0" w:color="auto"/>
        <w:right w:val="none" w:sz="0" w:space="0" w:color="auto"/>
      </w:divBdr>
    </w:div>
    <w:div w:id="1440222687">
      <w:bodyDiv w:val="1"/>
      <w:marLeft w:val="0"/>
      <w:marRight w:val="0"/>
      <w:marTop w:val="0"/>
      <w:marBottom w:val="0"/>
      <w:divBdr>
        <w:top w:val="none" w:sz="0" w:space="0" w:color="auto"/>
        <w:left w:val="none" w:sz="0" w:space="0" w:color="auto"/>
        <w:bottom w:val="none" w:sz="0" w:space="0" w:color="auto"/>
        <w:right w:val="none" w:sz="0" w:space="0" w:color="auto"/>
      </w:divBdr>
    </w:div>
    <w:div w:id="1482231988">
      <w:bodyDiv w:val="1"/>
      <w:marLeft w:val="0"/>
      <w:marRight w:val="0"/>
      <w:marTop w:val="0"/>
      <w:marBottom w:val="0"/>
      <w:divBdr>
        <w:top w:val="none" w:sz="0" w:space="0" w:color="auto"/>
        <w:left w:val="none" w:sz="0" w:space="0" w:color="auto"/>
        <w:bottom w:val="none" w:sz="0" w:space="0" w:color="auto"/>
        <w:right w:val="none" w:sz="0" w:space="0" w:color="auto"/>
      </w:divBdr>
    </w:div>
    <w:div w:id="1598367458">
      <w:bodyDiv w:val="1"/>
      <w:marLeft w:val="0"/>
      <w:marRight w:val="0"/>
      <w:marTop w:val="0"/>
      <w:marBottom w:val="0"/>
      <w:divBdr>
        <w:top w:val="none" w:sz="0" w:space="0" w:color="auto"/>
        <w:left w:val="none" w:sz="0" w:space="0" w:color="auto"/>
        <w:bottom w:val="none" w:sz="0" w:space="0" w:color="auto"/>
        <w:right w:val="none" w:sz="0" w:space="0" w:color="auto"/>
      </w:divBdr>
    </w:div>
    <w:div w:id="1780753314">
      <w:bodyDiv w:val="1"/>
      <w:marLeft w:val="0"/>
      <w:marRight w:val="0"/>
      <w:marTop w:val="0"/>
      <w:marBottom w:val="0"/>
      <w:divBdr>
        <w:top w:val="none" w:sz="0" w:space="0" w:color="auto"/>
        <w:left w:val="none" w:sz="0" w:space="0" w:color="auto"/>
        <w:bottom w:val="none" w:sz="0" w:space="0" w:color="auto"/>
        <w:right w:val="none" w:sz="0" w:space="0" w:color="auto"/>
      </w:divBdr>
    </w:div>
    <w:div w:id="1805272296">
      <w:bodyDiv w:val="1"/>
      <w:marLeft w:val="0"/>
      <w:marRight w:val="0"/>
      <w:marTop w:val="0"/>
      <w:marBottom w:val="0"/>
      <w:divBdr>
        <w:top w:val="none" w:sz="0" w:space="0" w:color="auto"/>
        <w:left w:val="none" w:sz="0" w:space="0" w:color="auto"/>
        <w:bottom w:val="none" w:sz="0" w:space="0" w:color="auto"/>
        <w:right w:val="none" w:sz="0" w:space="0" w:color="auto"/>
      </w:divBdr>
    </w:div>
    <w:div w:id="1808350949">
      <w:bodyDiv w:val="1"/>
      <w:marLeft w:val="0"/>
      <w:marRight w:val="0"/>
      <w:marTop w:val="0"/>
      <w:marBottom w:val="0"/>
      <w:divBdr>
        <w:top w:val="none" w:sz="0" w:space="0" w:color="auto"/>
        <w:left w:val="none" w:sz="0" w:space="0" w:color="auto"/>
        <w:bottom w:val="none" w:sz="0" w:space="0" w:color="auto"/>
        <w:right w:val="none" w:sz="0" w:space="0" w:color="auto"/>
      </w:divBdr>
    </w:div>
    <w:div w:id="1832939492">
      <w:bodyDiv w:val="1"/>
      <w:marLeft w:val="0"/>
      <w:marRight w:val="0"/>
      <w:marTop w:val="0"/>
      <w:marBottom w:val="0"/>
      <w:divBdr>
        <w:top w:val="none" w:sz="0" w:space="0" w:color="auto"/>
        <w:left w:val="none" w:sz="0" w:space="0" w:color="auto"/>
        <w:bottom w:val="none" w:sz="0" w:space="0" w:color="auto"/>
        <w:right w:val="none" w:sz="0" w:space="0" w:color="auto"/>
      </w:divBdr>
    </w:div>
    <w:div w:id="1839686557">
      <w:bodyDiv w:val="1"/>
      <w:marLeft w:val="0"/>
      <w:marRight w:val="0"/>
      <w:marTop w:val="0"/>
      <w:marBottom w:val="0"/>
      <w:divBdr>
        <w:top w:val="none" w:sz="0" w:space="0" w:color="auto"/>
        <w:left w:val="none" w:sz="0" w:space="0" w:color="auto"/>
        <w:bottom w:val="none" w:sz="0" w:space="0" w:color="auto"/>
        <w:right w:val="none" w:sz="0" w:space="0" w:color="auto"/>
      </w:divBdr>
    </w:div>
    <w:div w:id="1847094248">
      <w:bodyDiv w:val="1"/>
      <w:marLeft w:val="0"/>
      <w:marRight w:val="0"/>
      <w:marTop w:val="0"/>
      <w:marBottom w:val="0"/>
      <w:divBdr>
        <w:top w:val="none" w:sz="0" w:space="0" w:color="auto"/>
        <w:left w:val="none" w:sz="0" w:space="0" w:color="auto"/>
        <w:bottom w:val="none" w:sz="0" w:space="0" w:color="auto"/>
        <w:right w:val="none" w:sz="0" w:space="0" w:color="auto"/>
      </w:divBdr>
      <w:divsChild>
        <w:div w:id="765155777">
          <w:marLeft w:val="0"/>
          <w:marRight w:val="0"/>
          <w:marTop w:val="0"/>
          <w:marBottom w:val="432"/>
          <w:divBdr>
            <w:top w:val="none" w:sz="0" w:space="0" w:color="auto"/>
            <w:left w:val="none" w:sz="0" w:space="0" w:color="auto"/>
            <w:bottom w:val="none" w:sz="0" w:space="0" w:color="auto"/>
            <w:right w:val="none" w:sz="0" w:space="0" w:color="auto"/>
          </w:divBdr>
          <w:divsChild>
            <w:div w:id="1770157656">
              <w:marLeft w:val="0"/>
              <w:marRight w:val="0"/>
              <w:marTop w:val="0"/>
              <w:marBottom w:val="0"/>
              <w:divBdr>
                <w:top w:val="none" w:sz="0" w:space="0" w:color="auto"/>
                <w:left w:val="none" w:sz="0" w:space="0" w:color="auto"/>
                <w:bottom w:val="none" w:sz="0" w:space="0" w:color="auto"/>
                <w:right w:val="none" w:sz="0" w:space="0" w:color="auto"/>
              </w:divBdr>
              <w:divsChild>
                <w:div w:id="8221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611">
      <w:bodyDiv w:val="1"/>
      <w:marLeft w:val="0"/>
      <w:marRight w:val="0"/>
      <w:marTop w:val="0"/>
      <w:marBottom w:val="0"/>
      <w:divBdr>
        <w:top w:val="none" w:sz="0" w:space="0" w:color="auto"/>
        <w:left w:val="none" w:sz="0" w:space="0" w:color="auto"/>
        <w:bottom w:val="none" w:sz="0" w:space="0" w:color="auto"/>
        <w:right w:val="none" w:sz="0" w:space="0" w:color="auto"/>
      </w:divBdr>
      <w:divsChild>
        <w:div w:id="2066640666">
          <w:marLeft w:val="0"/>
          <w:marRight w:val="0"/>
          <w:marTop w:val="0"/>
          <w:marBottom w:val="525"/>
          <w:divBdr>
            <w:top w:val="none" w:sz="0" w:space="0" w:color="auto"/>
            <w:left w:val="none" w:sz="0" w:space="0" w:color="auto"/>
            <w:bottom w:val="none" w:sz="0" w:space="0" w:color="auto"/>
            <w:right w:val="none" w:sz="0" w:space="0" w:color="auto"/>
          </w:divBdr>
          <w:divsChild>
            <w:div w:id="682901932">
              <w:marLeft w:val="0"/>
              <w:marRight w:val="0"/>
              <w:marTop w:val="0"/>
              <w:marBottom w:val="0"/>
              <w:divBdr>
                <w:top w:val="none" w:sz="0" w:space="0" w:color="auto"/>
                <w:left w:val="none" w:sz="0" w:space="0" w:color="auto"/>
                <w:bottom w:val="none" w:sz="0" w:space="0" w:color="auto"/>
                <w:right w:val="none" w:sz="0" w:space="0" w:color="auto"/>
              </w:divBdr>
              <w:divsChild>
                <w:div w:id="1903104689">
                  <w:marLeft w:val="0"/>
                  <w:marRight w:val="0"/>
                  <w:marTop w:val="0"/>
                  <w:marBottom w:val="0"/>
                  <w:divBdr>
                    <w:top w:val="none" w:sz="0" w:space="0" w:color="auto"/>
                    <w:left w:val="none" w:sz="0" w:space="0" w:color="auto"/>
                    <w:bottom w:val="none" w:sz="0" w:space="0" w:color="auto"/>
                    <w:right w:val="none" w:sz="0" w:space="0" w:color="auto"/>
                  </w:divBdr>
                  <w:divsChild>
                    <w:div w:id="1719010097">
                      <w:marLeft w:val="0"/>
                      <w:marRight w:val="0"/>
                      <w:marTop w:val="0"/>
                      <w:marBottom w:val="0"/>
                      <w:divBdr>
                        <w:top w:val="none" w:sz="0" w:space="0" w:color="auto"/>
                        <w:left w:val="none" w:sz="0" w:space="0" w:color="auto"/>
                        <w:bottom w:val="none" w:sz="0" w:space="0" w:color="auto"/>
                        <w:right w:val="none" w:sz="0" w:space="0" w:color="auto"/>
                      </w:divBdr>
                      <w:divsChild>
                        <w:div w:id="795369758">
                          <w:marLeft w:val="0"/>
                          <w:marRight w:val="0"/>
                          <w:marTop w:val="0"/>
                          <w:marBottom w:val="0"/>
                          <w:divBdr>
                            <w:top w:val="none" w:sz="0" w:space="0" w:color="auto"/>
                            <w:left w:val="none" w:sz="0" w:space="0" w:color="auto"/>
                            <w:bottom w:val="none" w:sz="0" w:space="0" w:color="auto"/>
                            <w:right w:val="none" w:sz="0" w:space="0" w:color="auto"/>
                          </w:divBdr>
                          <w:divsChild>
                            <w:div w:id="484005667">
                              <w:marLeft w:val="0"/>
                              <w:marRight w:val="0"/>
                              <w:marTop w:val="0"/>
                              <w:marBottom w:val="0"/>
                              <w:divBdr>
                                <w:top w:val="none" w:sz="0" w:space="0" w:color="auto"/>
                                <w:left w:val="none" w:sz="0" w:space="0" w:color="auto"/>
                                <w:bottom w:val="none" w:sz="0" w:space="0" w:color="auto"/>
                                <w:right w:val="none" w:sz="0" w:space="0" w:color="auto"/>
                              </w:divBdr>
                            </w:div>
                            <w:div w:id="52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88525">
      <w:bodyDiv w:val="1"/>
      <w:marLeft w:val="0"/>
      <w:marRight w:val="0"/>
      <w:marTop w:val="0"/>
      <w:marBottom w:val="0"/>
      <w:divBdr>
        <w:top w:val="none" w:sz="0" w:space="0" w:color="auto"/>
        <w:left w:val="none" w:sz="0" w:space="0" w:color="auto"/>
        <w:bottom w:val="none" w:sz="0" w:space="0" w:color="auto"/>
        <w:right w:val="none" w:sz="0" w:space="0" w:color="auto"/>
      </w:divBdr>
    </w:div>
    <w:div w:id="2014918731">
      <w:bodyDiv w:val="1"/>
      <w:marLeft w:val="0"/>
      <w:marRight w:val="0"/>
      <w:marTop w:val="0"/>
      <w:marBottom w:val="0"/>
      <w:divBdr>
        <w:top w:val="none" w:sz="0" w:space="0" w:color="auto"/>
        <w:left w:val="none" w:sz="0" w:space="0" w:color="auto"/>
        <w:bottom w:val="none" w:sz="0" w:space="0" w:color="auto"/>
        <w:right w:val="none" w:sz="0" w:space="0" w:color="auto"/>
      </w:divBdr>
    </w:div>
    <w:div w:id="2030719490">
      <w:bodyDiv w:val="1"/>
      <w:marLeft w:val="0"/>
      <w:marRight w:val="0"/>
      <w:marTop w:val="0"/>
      <w:marBottom w:val="0"/>
      <w:divBdr>
        <w:top w:val="none" w:sz="0" w:space="0" w:color="auto"/>
        <w:left w:val="none" w:sz="0" w:space="0" w:color="auto"/>
        <w:bottom w:val="none" w:sz="0" w:space="0" w:color="auto"/>
        <w:right w:val="none" w:sz="0" w:space="0" w:color="auto"/>
      </w:divBdr>
    </w:div>
    <w:div w:id="2032995837">
      <w:bodyDiv w:val="1"/>
      <w:marLeft w:val="0"/>
      <w:marRight w:val="0"/>
      <w:marTop w:val="0"/>
      <w:marBottom w:val="0"/>
      <w:divBdr>
        <w:top w:val="none" w:sz="0" w:space="0" w:color="auto"/>
        <w:left w:val="none" w:sz="0" w:space="0" w:color="auto"/>
        <w:bottom w:val="none" w:sz="0" w:space="0" w:color="auto"/>
        <w:right w:val="none" w:sz="0" w:space="0" w:color="auto"/>
      </w:divBdr>
    </w:div>
    <w:div w:id="20570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guardingpartnership.swindon.gov.uk/info/3/workers_and_volunteers/10/workers_and_volunteers/12" TargetMode="External"/><Relationship Id="rId18" Type="http://schemas.openxmlformats.org/officeDocument/2006/relationships/hyperlink" Target="https://learning.nspcc.org.uk/" TargetMode="External"/><Relationship Id="rId26" Type="http://schemas.openxmlformats.org/officeDocument/2006/relationships/hyperlink" Target="https://media.samaritans.org/documents/APPG_inquiry_full_report.pdf" TargetMode="External"/><Relationship Id="rId39" Type="http://schemas.openxmlformats.org/officeDocument/2006/relationships/hyperlink" Target="https://www.swindon.gov.uk/info/20011/adult_social_care_and_support/1120/report_a_concern_about_an_adult_at_risk_of_or_experiencing_harm" TargetMode="External"/><Relationship Id="rId21" Type="http://schemas.openxmlformats.org/officeDocument/2006/relationships/hyperlink" Target="https://learning.nspcc.org.uk/news/2020/september/podcast-helping-children-recover-from-domestic-abuse" TargetMode="External"/><Relationship Id="rId34" Type="http://schemas.openxmlformats.org/officeDocument/2006/relationships/image" Target="media/image7.png"/><Relationship Id="rId42" Type="http://schemas.openxmlformats.org/officeDocument/2006/relationships/image" Target="media/image8.jpeg"/><Relationship Id="rId47" Type="http://schemas.openxmlformats.org/officeDocument/2006/relationships/hyperlink" Target="https://safeguardingpartnership.swindon.gov.uk/info/4/training/11/training/9" TargetMode="External"/><Relationship Id="rId50" Type="http://schemas.openxmlformats.org/officeDocument/2006/relationships/image" Target="media/image9.jpeg"/><Relationship Id="rId55" Type="http://schemas.openxmlformats.org/officeDocument/2006/relationships/hyperlink" Target="https://safeguardingpartnership.swindon.gov.uk/" TargetMode="External"/><Relationship Id="rId7" Type="http://schemas.openxmlformats.org/officeDocument/2006/relationships/hyperlink" Target="mailto:Swiftswindon@wiltshire.pnn.police.uk" TargetMode="External"/><Relationship Id="rId2" Type="http://schemas.openxmlformats.org/officeDocument/2006/relationships/styles" Target="styles.xml"/><Relationship Id="rId16" Type="http://schemas.openxmlformats.org/officeDocument/2006/relationships/hyperlink" Target="https://safeguardingpartnership.swindon.gov.uk/downloads/file/478/ssp_neglect_framework_and_practice_guidance_final_september_2020" TargetMode="External"/><Relationship Id="rId29" Type="http://schemas.openxmlformats.org/officeDocument/2006/relationships/hyperlink" Target="https://iconcope.org/" TargetMode="External"/><Relationship Id="rId11" Type="http://schemas.openxmlformats.org/officeDocument/2006/relationships/hyperlink" Target="https://www.scie.org.uk/care-providers/coronavirus-covid-19/beyond/adult-social-care" TargetMode="External"/><Relationship Id="rId24" Type="http://schemas.openxmlformats.org/officeDocument/2006/relationships/hyperlink" Target="https://www.childrenssociety.org.uk/news-and-blogs/press-releases/back-to-school-charities-create-tips-for-teachers-to-help-young-carers" TargetMode="External"/><Relationship Id="rId32" Type="http://schemas.openxmlformats.org/officeDocument/2006/relationships/hyperlink" Target="https://iconcope.org/about-icon/" TargetMode="External"/><Relationship Id="rId37" Type="http://schemas.openxmlformats.org/officeDocument/2006/relationships/hyperlink" Target="https://myaccount.swindon.gov.uk/q/register" TargetMode="External"/><Relationship Id="rId40" Type="http://schemas.openxmlformats.org/officeDocument/2006/relationships/hyperlink" Target="https://support.google.com/chrome/answer/95346?co=GENIE.Platform%3DDesktop&amp;hl=en&amp;oco=0" TargetMode="External"/><Relationship Id="rId45" Type="http://schemas.openxmlformats.org/officeDocument/2006/relationships/hyperlink" Target="mailto:NickHerbert@recovery4all.co.uk" TargetMode="External"/><Relationship Id="rId53" Type="http://schemas.openxmlformats.org/officeDocument/2006/relationships/image" Target="media/image100.png"/><Relationship Id="rId58" Type="http://schemas.openxmlformats.org/officeDocument/2006/relationships/fontTable" Target="fontTable.xml"/><Relationship Id="rId5" Type="http://schemas.openxmlformats.org/officeDocument/2006/relationships/image" Target="media/image1.jp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scie.org.uk/reablement/what-is/carers-family?utm_campaign=11831946_SCIELine%2024%20September%202020&amp;utm_medium=email&amp;utm_source=SOCIAL%20CARE%20INSTITUTE%20FOR%20EXCELLENCE%20&amp;utm_sfid=0030f00003DFO2QAAX&amp;utm_role=Manager&amp;dm_i=4O5,71LL6,1QKX3,SF918,1" TargetMode="External"/><Relationship Id="rId14" Type="http://schemas.openxmlformats.org/officeDocument/2006/relationships/hyperlink" Target="https://safeguardingpartnership.swindon.gov.uk/info/3/workers_and_volunteers/10/workers_and_volunteers/12" TargetMode="External"/><Relationship Id="rId22" Type="http://schemas.openxmlformats.org/officeDocument/2006/relationships/hyperlink" Target="https://learning.nspcc.org.uk/services/speak-out-stay-safe" TargetMode="External"/><Relationship Id="rId27" Type="http://schemas.openxmlformats.org/officeDocument/2006/relationships/hyperlink" Target="https://thenayj.org.uk/cmsAdmin/uploads/state-of-youth-justice-2020-final-sep20.pdf" TargetMode="External"/><Relationship Id="rId30" Type="http://schemas.openxmlformats.org/officeDocument/2006/relationships/image" Target="media/image6.png"/><Relationship Id="rId35" Type="http://schemas.openxmlformats.org/officeDocument/2006/relationships/hyperlink" Target="https://www.swindon.gov.uk/xfp/form/794" TargetMode="External"/><Relationship Id="rId43" Type="http://schemas.openxmlformats.org/officeDocument/2006/relationships/hyperlink" Target="https://www.recovery4all.co.uk/" TargetMode="External"/><Relationship Id="rId48" Type="http://schemas.openxmlformats.org/officeDocument/2006/relationships/hyperlink" Target="https://safeguardingpartnership.swindon.gov.uk/downloads/file/455/ssp_evaluation_form_virtual_june_20" TargetMode="External"/><Relationship Id="rId56" Type="http://schemas.openxmlformats.org/officeDocument/2006/relationships/hyperlink" Target="https://twitter.com/SwindonSafegua1" TargetMode="External"/><Relationship Id="rId8" Type="http://schemas.openxmlformats.org/officeDocument/2006/relationships/image" Target="media/image3.jpeg"/><Relationship Id="rId51" Type="http://schemas.openxmlformats.org/officeDocument/2006/relationships/hyperlink" Target="mailto:safeguardingpartnership@swindon.gov.uk" TargetMode="External"/><Relationship Id="rId3" Type="http://schemas.openxmlformats.org/officeDocument/2006/relationships/settings" Target="settings.xml"/><Relationship Id="rId12" Type="http://schemas.openxmlformats.org/officeDocument/2006/relationships/hyperlink" Target="https://www.scie.org.uk/care-providers/coronavirus-covid-19" TargetMode="External"/><Relationship Id="rId17" Type="http://schemas.openxmlformats.org/officeDocument/2006/relationships/hyperlink" Target="https://safeguardingpartnership.swindon.gov.uk/info/4/training/11/training/11" TargetMode="External"/><Relationship Id="rId25" Type="http://schemas.openxmlformats.org/officeDocument/2006/relationships/hyperlink" Target="https://www.childrenssociety.org.uk/news-and-blogs/press-releases/back-to-school-charities-create-tips-for-teachers-to-help-young-carers" TargetMode="External"/><Relationship Id="rId33" Type="http://schemas.openxmlformats.org/officeDocument/2006/relationships/hyperlink" Target="https://safeguardingpartnership.swindon.gov.uk/info/4/training/11/training/11" TargetMode="External"/><Relationship Id="rId38" Type="http://schemas.openxmlformats.org/officeDocument/2006/relationships/hyperlink" Target="https://myaccount.swindon.gov.uk/q/password" TargetMode="External"/><Relationship Id="rId46" Type="http://schemas.openxmlformats.org/officeDocument/2006/relationships/hyperlink" Target="https://safeguardingpartnership.swindon.gov.uk/info/4/training/11/training/9" TargetMode="External"/><Relationship Id="rId59" Type="http://schemas.openxmlformats.org/officeDocument/2006/relationships/theme" Target="theme/theme1.xml"/><Relationship Id="rId20" Type="http://schemas.openxmlformats.org/officeDocument/2006/relationships/hyperlink" Target="https://learning.nspcc.org.uk/research-resources/2020/impact-evaluation-scale-up-domestic-abuse-recovering-together" TargetMode="External"/><Relationship Id="rId41" Type="http://schemas.openxmlformats.org/officeDocument/2006/relationships/hyperlink" Target="mailto:AdultSafeGuarding@swindon.gov.uk" TargetMode="External"/><Relationship Id="rId54" Type="http://schemas.openxmlformats.org/officeDocument/2006/relationships/hyperlink" Target="mailto:safeguardingpartnership@swindon.gov.uk"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4.emf"/><Relationship Id="rId23" Type="http://schemas.openxmlformats.org/officeDocument/2006/relationships/hyperlink" Target="https://thecpsu.org.uk/upcoming-events/2020-10-05-parents-in-sport-week/" TargetMode="External"/><Relationship Id="rId28" Type="http://schemas.openxmlformats.org/officeDocument/2006/relationships/hyperlink" Target="https://www.powerthefight.org.uk/wp-content/uploads/2020/09/TIP-final-report.pdf" TargetMode="External"/><Relationship Id="rId36" Type="http://schemas.openxmlformats.org/officeDocument/2006/relationships/hyperlink" Target="https://myaccount.swindon.gov.uk/q/login" TargetMode="External"/><Relationship Id="rId49" Type="http://schemas.openxmlformats.org/officeDocument/2006/relationships/hyperlink" Target="mailto:safeguardingpartnership@swindon.gov.uk" TargetMode="External"/><Relationship Id="rId57" Type="http://schemas.openxmlformats.org/officeDocument/2006/relationships/hyperlink" Target="https://safeguardingpartnership.swindon.gov.uk/info/4/training/11/training/9" TargetMode="External"/><Relationship Id="rId10" Type="http://schemas.openxmlformats.org/officeDocument/2006/relationships/hyperlink" Target="https://www.scie.org.uk/care-providers/coronavirus-covid-19/podcasts?utm_campaign=11831946_SCIELine%2024%20September%202020&amp;utm_medium=email&amp;utm_source=SOCIAL%20CARE%20INSTITUTE%20FOR%20EXCELLENCE%20&amp;utm_sfid=0030f00003DFO2QAAX&amp;utm_role=Manager&amp;dm_i=4O5,71LL6,1QKX3,SF918,1" TargetMode="External"/><Relationship Id="rId31" Type="http://schemas.openxmlformats.org/officeDocument/2006/relationships/hyperlink" Target="https://iconcope.org/comfort-methods/" TargetMode="External"/><Relationship Id="rId44" Type="http://schemas.openxmlformats.org/officeDocument/2006/relationships/hyperlink" Target="https://safeguardingpartnership.swindon.gov.uk/downloads/file/473/problem_gambling_briefing_document" TargetMode="External"/><Relationship Id="rId5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Ratcliff</dc:creator>
  <cp:keywords/>
  <dc:description/>
  <cp:lastModifiedBy>Beata Suchon</cp:lastModifiedBy>
  <cp:revision>2</cp:revision>
  <cp:lastPrinted>2020-06-02T10:00:00Z</cp:lastPrinted>
  <dcterms:created xsi:type="dcterms:W3CDTF">2021-06-22T13:36:00Z</dcterms:created>
  <dcterms:modified xsi:type="dcterms:W3CDTF">2021-06-22T13:36:00Z</dcterms:modified>
</cp:coreProperties>
</file>