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11" w:rsidRPr="00872E33" w:rsidRDefault="00027351" w:rsidP="005B7255">
      <w:pPr>
        <w:jc w:val="center"/>
        <w:rPr>
          <w:rFonts w:ascii="Arial" w:hAnsi="Arial" w:cs="Arial"/>
          <w:b/>
          <w:color w:val="002C77" w:themeColor="text2"/>
          <w:u w:val="single"/>
        </w:rPr>
      </w:pPr>
      <w:bookmarkStart w:id="0" w:name="_GoBack"/>
      <w:bookmarkEnd w:id="0"/>
      <w:r w:rsidRPr="00872E33">
        <w:rPr>
          <w:rFonts w:ascii="Arial" w:hAnsi="Arial" w:cs="Arial"/>
          <w:b/>
          <w:color w:val="002C77" w:themeColor="text2"/>
          <w:u w:val="single"/>
        </w:rPr>
        <w:t xml:space="preserve">Missing </w:t>
      </w:r>
      <w:r w:rsidR="0070018F">
        <w:rPr>
          <w:rFonts w:ascii="Arial" w:hAnsi="Arial" w:cs="Arial"/>
          <w:b/>
          <w:color w:val="002C77" w:themeColor="text2"/>
          <w:u w:val="single"/>
        </w:rPr>
        <w:t>Aide Memoire</w:t>
      </w:r>
    </w:p>
    <w:p w:rsidR="0070018F" w:rsidRDefault="0070018F" w:rsidP="00381EB0">
      <w:pPr>
        <w:rPr>
          <w:rFonts w:ascii="Arial" w:hAnsi="Arial" w:cs="Arial"/>
          <w:b/>
          <w:color w:val="000000"/>
          <w:u w:val="single"/>
        </w:rPr>
      </w:pPr>
    </w:p>
    <w:p w:rsidR="003A701D" w:rsidRPr="003A701D" w:rsidRDefault="003A701D" w:rsidP="00381EB0">
      <w:r>
        <w:rPr>
          <w:rFonts w:ascii="Arial" w:hAnsi="Arial" w:cs="Arial"/>
          <w:b/>
          <w:color w:val="000000"/>
          <w:u w:val="single"/>
        </w:rPr>
        <w:t>Missing:</w:t>
      </w:r>
      <w:r w:rsidR="00381EB0">
        <w:rPr>
          <w:rFonts w:ascii="Arial" w:hAnsi="Arial" w:cs="Arial"/>
          <w:b/>
          <w:color w:val="000000"/>
          <w:u w:val="single"/>
        </w:rPr>
        <w:t xml:space="preserve">  </w:t>
      </w:r>
      <w:r w:rsidRPr="003A701D">
        <w:rPr>
          <w:rFonts w:ascii="Arial" w:hAnsi="Arial" w:cs="Arial"/>
          <w:b/>
          <w:bCs/>
          <w:color w:val="000000"/>
          <w:kern w:val="24"/>
        </w:rPr>
        <w:t>“Anyone whose whereabouts cannot be established will be considered as missing until located and their well-being or otherwise confirmed.”</w:t>
      </w:r>
    </w:p>
    <w:p w:rsidR="003A701D" w:rsidRPr="00027351" w:rsidRDefault="00027351" w:rsidP="00243011">
      <w:pPr>
        <w:spacing w:after="0" w:line="240" w:lineRule="auto"/>
        <w:rPr>
          <w:rFonts w:ascii="Arial" w:hAnsi="Arial" w:cs="Arial"/>
          <w:i/>
          <w:sz w:val="20"/>
          <w:szCs w:val="20"/>
        </w:rPr>
      </w:pPr>
      <w:r w:rsidRPr="00027351">
        <w:rPr>
          <w:rFonts w:ascii="Arial" w:hAnsi="Arial" w:cs="Arial"/>
          <w:i/>
          <w:sz w:val="20"/>
          <w:szCs w:val="20"/>
        </w:rPr>
        <w:t xml:space="preserve">College of Policing </w:t>
      </w:r>
      <w:r w:rsidR="003A701D" w:rsidRPr="00027351">
        <w:rPr>
          <w:rFonts w:ascii="Arial" w:hAnsi="Arial" w:cs="Arial"/>
          <w:i/>
          <w:sz w:val="20"/>
          <w:szCs w:val="20"/>
        </w:rPr>
        <w:t>Authorised Professional Practice</w:t>
      </w:r>
      <w:r w:rsidR="00BF200E" w:rsidRPr="00027351">
        <w:rPr>
          <w:rFonts w:ascii="Arial" w:hAnsi="Arial" w:cs="Arial"/>
          <w:i/>
          <w:sz w:val="20"/>
          <w:szCs w:val="20"/>
        </w:rPr>
        <w:t xml:space="preserve"> 2017</w:t>
      </w:r>
    </w:p>
    <w:p w:rsidR="00ED447B" w:rsidRDefault="00ED447B" w:rsidP="003A701D">
      <w:pPr>
        <w:spacing w:after="0" w:line="240" w:lineRule="auto"/>
        <w:rPr>
          <w:rFonts w:ascii="Arial" w:hAnsi="Arial" w:cs="Arial"/>
          <w:b/>
        </w:rPr>
      </w:pPr>
    </w:p>
    <w:p w:rsidR="003A701D" w:rsidRPr="00BF200E" w:rsidRDefault="003A701D" w:rsidP="003A701D">
      <w:pPr>
        <w:spacing w:after="0" w:line="240" w:lineRule="auto"/>
        <w:jc w:val="both"/>
        <w:rPr>
          <w:rFonts w:ascii="Arial" w:eastAsia="Times New Roman" w:hAnsi="Arial" w:cs="Arial"/>
          <w:b/>
        </w:rPr>
      </w:pPr>
      <w:r w:rsidRPr="00BF200E">
        <w:rPr>
          <w:rFonts w:ascii="Arial" w:eastAsia="Times New Roman" w:hAnsi="Arial" w:cs="Arial"/>
          <w:b/>
        </w:rPr>
        <w:t>Missing q</w:t>
      </w:r>
      <w:r w:rsidR="00381EB0">
        <w:rPr>
          <w:rFonts w:ascii="Arial" w:eastAsia="Times New Roman" w:hAnsi="Arial" w:cs="Arial"/>
          <w:b/>
        </w:rPr>
        <w:t>uestion set</w:t>
      </w:r>
      <w:r w:rsidRPr="00BF200E">
        <w:rPr>
          <w:rFonts w:ascii="Arial" w:eastAsia="Times New Roman" w:hAnsi="Arial" w:cs="Arial"/>
          <w:b/>
        </w:rPr>
        <w:t xml:space="preserve">: </w:t>
      </w:r>
    </w:p>
    <w:p w:rsidR="003A701D" w:rsidRPr="003A701D" w:rsidRDefault="003A701D" w:rsidP="003A701D">
      <w:pPr>
        <w:spacing w:after="0" w:line="240" w:lineRule="auto"/>
        <w:ind w:left="720"/>
        <w:contextualSpacing/>
        <w:jc w:val="both"/>
        <w:rPr>
          <w:rFonts w:ascii="Arial" w:eastAsia="Times New Roman" w:hAnsi="Arial" w:cs="Arial"/>
          <w:lang w:eastAsia="en-GB"/>
        </w:rPr>
      </w:pP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When and where were they last seen? Where?</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 xml:space="preserve">Is the person a cared for or a looked other than by their family? In what way? </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What is the specific concern that has caused you to call the Police? </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What has been done so far to trace this individual?</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Is this significantly out of character (has there been a recent change in the person’s behaviour)?</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Do they need urgent medical attention or essential medication that is not likely to be available to them?  </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Are they likely to be subjected to any other crime?</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Are they likely to be the victim of any other form of abuse?</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If under 18, are they currently at risk of child abuse including child sexual exploitation?</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Are they likely to attempt suicide?</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Do they pose a danger to other people?</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Is there any other information relevant to their absence?</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Is the person detainable under any mental health legislation?</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Is the person vulnerable due to other factors?  </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Is the person particularly at risk of harm due to physical disability, frailty, or memory loss?</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Does the person lack the ability to interact safely with others in an unknown environment (mental illness, learning disability, and/or sensory impairment)?  </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Has the person been involved in any violent, homophobic, or racist incident immediately prior to their disappearance?</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Any child safeguarding concerns (subject to child protection plan, known to social care / PVP, and/or specific PNC warning flag triggered)?</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Is the person suffering from a drug and / or alcohol dependency?  </w:t>
      </w:r>
    </w:p>
    <w:p w:rsidR="003A701D" w:rsidRPr="003A701D" w:rsidRDefault="003A701D" w:rsidP="003A701D">
      <w:pPr>
        <w:numPr>
          <w:ilvl w:val="1"/>
          <w:numId w:val="4"/>
        </w:numPr>
        <w:spacing w:after="0" w:line="360" w:lineRule="auto"/>
        <w:contextualSpacing/>
        <w:jc w:val="both"/>
        <w:rPr>
          <w:rFonts w:ascii="Arial" w:eastAsia="Times New Roman" w:hAnsi="Arial" w:cs="Arial"/>
          <w:lang w:eastAsia="en-GB"/>
        </w:rPr>
      </w:pPr>
      <w:r w:rsidRPr="003A701D">
        <w:rPr>
          <w:rFonts w:ascii="Arial" w:eastAsia="Times New Roman" w:hAnsi="Arial" w:cs="Arial"/>
          <w:lang w:eastAsia="en-GB"/>
        </w:rPr>
        <w:t>Any social concerns (family / relationship / employment / financial / school / college)?  </w:t>
      </w:r>
    </w:p>
    <w:p w:rsidR="003A701D" w:rsidRDefault="00E8638A">
      <w:pPr>
        <w:rPr>
          <w:rFonts w:ascii="Arial" w:hAnsi="Arial" w:cs="Arial"/>
        </w:rPr>
      </w:pPr>
      <w:r>
        <w:rPr>
          <w:noProof/>
          <w:lang w:eastAsia="en-GB"/>
        </w:rPr>
        <w:lastRenderedPageBreak/>
        <w:drawing>
          <wp:anchor distT="0" distB="0" distL="114300" distR="114300" simplePos="0" relativeHeight="251658240" behindDoc="0" locked="0" layoutInCell="1" allowOverlap="1" wp14:anchorId="5691368C" wp14:editId="1BE68C54">
            <wp:simplePos x="0" y="0"/>
            <wp:positionH relativeFrom="column">
              <wp:posOffset>342900</wp:posOffset>
            </wp:positionH>
            <wp:positionV relativeFrom="paragraph">
              <wp:posOffset>-148590</wp:posOffset>
            </wp:positionV>
            <wp:extent cx="5189220" cy="333692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220" cy="3336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25" w:type="dxa"/>
        <w:tblCellMar>
          <w:left w:w="0" w:type="dxa"/>
          <w:right w:w="0" w:type="dxa"/>
        </w:tblCellMar>
        <w:tblLook w:val="04A0" w:firstRow="1" w:lastRow="0" w:firstColumn="1" w:lastColumn="0" w:noHBand="0" w:noVBand="1"/>
      </w:tblPr>
      <w:tblGrid>
        <w:gridCol w:w="4060"/>
        <w:gridCol w:w="5265"/>
      </w:tblGrid>
      <w:tr w:rsidR="00BF200E" w:rsidRPr="00BF200E" w:rsidTr="0070018F">
        <w:trPr>
          <w:trHeight w:val="305"/>
        </w:trPr>
        <w:tc>
          <w:tcPr>
            <w:tcW w:w="9325" w:type="dxa"/>
            <w:gridSpan w:val="2"/>
            <w:tcBorders>
              <w:top w:val="single" w:sz="8" w:space="0" w:color="FFFFFF"/>
              <w:left w:val="single" w:sz="8" w:space="0" w:color="FFFFFF"/>
              <w:bottom w:val="single" w:sz="24" w:space="0" w:color="FFFFFF"/>
              <w:right w:val="single" w:sz="8" w:space="0" w:color="FFFFFF"/>
            </w:tcBorders>
            <w:shd w:val="clear" w:color="auto" w:fill="4F81BD"/>
            <w:tcMar>
              <w:top w:w="62" w:type="dxa"/>
              <w:left w:w="166" w:type="dxa"/>
              <w:bottom w:w="62" w:type="dxa"/>
              <w:right w:w="166" w:type="dxa"/>
            </w:tcMar>
            <w:hideMark/>
          </w:tcPr>
          <w:p w:rsidR="00BF200E" w:rsidRPr="0070018F" w:rsidRDefault="00BF200E" w:rsidP="0070018F">
            <w:pPr>
              <w:spacing w:after="0" w:line="250" w:lineRule="exact"/>
              <w:rPr>
                <w:rFonts w:ascii="Arial" w:eastAsia="Times New Roman" w:hAnsi="Arial" w:cs="Arial"/>
                <w:sz w:val="18"/>
                <w:szCs w:val="18"/>
                <w:lang w:eastAsia="en-GB"/>
              </w:rPr>
            </w:pPr>
            <w:r w:rsidRPr="0070018F">
              <w:rPr>
                <w:rFonts w:eastAsia="Times New Roman" w:cs="Arial"/>
                <w:b/>
                <w:bCs/>
                <w:color w:val="FFFFFF"/>
                <w:kern w:val="24"/>
                <w:sz w:val="18"/>
                <w:szCs w:val="18"/>
                <w:lang w:eastAsia="en-GB"/>
              </w:rPr>
              <w:t>No apparent risk (</w:t>
            </w:r>
            <w:r w:rsidR="00872E33" w:rsidRPr="0070018F">
              <w:rPr>
                <w:rFonts w:eastAsia="Times New Roman" w:cs="Arial"/>
                <w:b/>
                <w:bCs/>
                <w:color w:val="FFFFFF"/>
                <w:kern w:val="24"/>
                <w:sz w:val="18"/>
                <w:szCs w:val="18"/>
                <w:lang w:eastAsia="en-GB"/>
              </w:rPr>
              <w:t xml:space="preserve">previously </w:t>
            </w:r>
            <w:r w:rsidRPr="0070018F">
              <w:rPr>
                <w:rFonts w:eastAsia="Times New Roman" w:cs="Arial"/>
                <w:b/>
                <w:bCs/>
                <w:color w:val="FFFFFF"/>
                <w:kern w:val="24"/>
                <w:sz w:val="18"/>
                <w:szCs w:val="18"/>
                <w:lang w:eastAsia="en-GB"/>
              </w:rPr>
              <w:t>absent)</w:t>
            </w:r>
          </w:p>
        </w:tc>
      </w:tr>
      <w:tr w:rsidR="00BF200E" w:rsidRPr="00BF200E" w:rsidTr="0070018F">
        <w:trPr>
          <w:trHeight w:val="541"/>
        </w:trPr>
        <w:tc>
          <w:tcPr>
            <w:tcW w:w="4060"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4F81BD"/>
            <w:tcMar>
              <w:top w:w="62" w:type="dxa"/>
              <w:left w:w="166" w:type="dxa"/>
              <w:bottom w:w="62" w:type="dxa"/>
              <w:right w:w="166" w:type="dxa"/>
            </w:tcMar>
            <w:hideMark/>
          </w:tcPr>
          <w:p w:rsidR="00BF200E" w:rsidRPr="0070018F" w:rsidRDefault="00BF200E" w:rsidP="0070018F">
            <w:pPr>
              <w:spacing w:after="0" w:line="250" w:lineRule="exact"/>
              <w:rPr>
                <w:rFonts w:ascii="Arial" w:eastAsia="Times New Roman" w:hAnsi="Arial" w:cs="Arial"/>
                <w:sz w:val="18"/>
                <w:szCs w:val="18"/>
                <w:lang w:eastAsia="en-GB"/>
              </w:rPr>
            </w:pPr>
            <w:r w:rsidRPr="0070018F">
              <w:rPr>
                <w:rFonts w:eastAsia="Times New Roman" w:cs="Arial"/>
                <w:b/>
                <w:bCs/>
                <w:color w:val="FFFFFF"/>
                <w:kern w:val="24"/>
                <w:sz w:val="18"/>
                <w:szCs w:val="18"/>
                <w:lang w:eastAsia="en-GB"/>
              </w:rPr>
              <w:t>There is no apparent risk of harm to either the subject or the public.</w:t>
            </w:r>
          </w:p>
        </w:tc>
        <w:tc>
          <w:tcPr>
            <w:tcW w:w="5265" w:type="dxa"/>
            <w:tcBorders>
              <w:top w:val="single" w:sz="24" w:space="0" w:color="FFFFFF"/>
              <w:left w:val="single" w:sz="8" w:space="0" w:color="FFFFFF"/>
              <w:bottom w:val="single" w:sz="4" w:space="0" w:color="FFFFFF" w:themeColor="background1"/>
              <w:right w:val="single" w:sz="8" w:space="0" w:color="FFFFFF"/>
            </w:tcBorders>
            <w:shd w:val="clear" w:color="auto" w:fill="D0D8E8"/>
            <w:tcMar>
              <w:top w:w="62" w:type="dxa"/>
              <w:left w:w="166" w:type="dxa"/>
              <w:bottom w:w="62" w:type="dxa"/>
              <w:right w:w="166" w:type="dxa"/>
            </w:tcMar>
            <w:hideMark/>
          </w:tcPr>
          <w:p w:rsidR="00BF200E" w:rsidRPr="0070018F" w:rsidRDefault="00BF200E" w:rsidP="0070018F">
            <w:pPr>
              <w:spacing w:after="0" w:line="250" w:lineRule="exact"/>
              <w:rPr>
                <w:rFonts w:ascii="Arial" w:eastAsia="Times New Roman" w:hAnsi="Arial" w:cs="Arial"/>
                <w:sz w:val="18"/>
                <w:szCs w:val="18"/>
                <w:lang w:eastAsia="en-GB"/>
              </w:rPr>
            </w:pPr>
            <w:r w:rsidRPr="0070018F">
              <w:rPr>
                <w:rFonts w:eastAsia="Times New Roman" w:cs="Arial"/>
                <w:color w:val="000000"/>
                <w:kern w:val="24"/>
                <w:sz w:val="18"/>
                <w:szCs w:val="18"/>
                <w:lang w:eastAsia="en-GB"/>
              </w:rPr>
              <w:t>Actions to locate the subject and/or gather further information should be agreed with the informant and a latest review time set to reassess the risk.</w:t>
            </w:r>
          </w:p>
        </w:tc>
      </w:tr>
      <w:tr w:rsidR="00BF200E" w:rsidRPr="00BF200E" w:rsidTr="00381EB0">
        <w:trPr>
          <w:trHeight w:val="358"/>
        </w:trPr>
        <w:tc>
          <w:tcPr>
            <w:tcW w:w="9325" w:type="dxa"/>
            <w:gridSpan w:val="2"/>
            <w:tcBorders>
              <w:top w:val="single" w:sz="8" w:space="0" w:color="FFFFFF"/>
              <w:left w:val="single" w:sz="8" w:space="0" w:color="FFFFFF"/>
              <w:bottom w:val="single" w:sz="8" w:space="0" w:color="FFFFFF"/>
              <w:right w:val="single" w:sz="8" w:space="0" w:color="FFFFFF"/>
            </w:tcBorders>
            <w:shd w:val="clear" w:color="auto" w:fill="4F81BD"/>
            <w:tcMar>
              <w:top w:w="62" w:type="dxa"/>
              <w:left w:w="166" w:type="dxa"/>
              <w:bottom w:w="62" w:type="dxa"/>
              <w:right w:w="166" w:type="dxa"/>
            </w:tcMar>
            <w:hideMark/>
          </w:tcPr>
          <w:p w:rsidR="00BF200E" w:rsidRPr="0070018F" w:rsidRDefault="00BF200E" w:rsidP="0070018F">
            <w:pPr>
              <w:spacing w:after="0" w:line="250" w:lineRule="atLeast"/>
              <w:rPr>
                <w:rFonts w:ascii="Arial" w:eastAsia="Times New Roman" w:hAnsi="Arial" w:cs="Arial"/>
                <w:b/>
                <w:sz w:val="18"/>
                <w:szCs w:val="18"/>
                <w:lang w:eastAsia="en-GB"/>
              </w:rPr>
            </w:pPr>
            <w:r w:rsidRPr="0070018F">
              <w:rPr>
                <w:rFonts w:eastAsia="Times New Roman" w:cs="Arial"/>
                <w:b/>
                <w:bCs/>
                <w:color w:val="FFFFFF"/>
                <w:kern w:val="24"/>
                <w:sz w:val="18"/>
                <w:szCs w:val="18"/>
                <w:lang w:eastAsia="en-GB"/>
              </w:rPr>
              <w:t>Low risk</w:t>
            </w:r>
          </w:p>
        </w:tc>
      </w:tr>
      <w:tr w:rsidR="00BF200E" w:rsidRPr="00BF200E" w:rsidTr="00381EB0">
        <w:trPr>
          <w:trHeight w:val="620"/>
        </w:trPr>
        <w:tc>
          <w:tcPr>
            <w:tcW w:w="4060" w:type="dxa"/>
            <w:tcBorders>
              <w:top w:val="single" w:sz="8" w:space="0" w:color="FFFFFF"/>
              <w:left w:val="single" w:sz="8" w:space="0" w:color="FFFFFF"/>
              <w:bottom w:val="single" w:sz="8" w:space="0" w:color="FFFFFF"/>
              <w:right w:val="single" w:sz="8" w:space="0" w:color="FFFFFF"/>
            </w:tcBorders>
            <w:shd w:val="clear" w:color="auto" w:fill="4F81BD"/>
            <w:tcMar>
              <w:top w:w="62" w:type="dxa"/>
              <w:left w:w="166" w:type="dxa"/>
              <w:bottom w:w="62" w:type="dxa"/>
              <w:right w:w="166" w:type="dxa"/>
            </w:tcMar>
            <w:hideMark/>
          </w:tcPr>
          <w:p w:rsidR="00BF200E" w:rsidRPr="0070018F" w:rsidRDefault="00BF200E" w:rsidP="0070018F">
            <w:pPr>
              <w:spacing w:after="0" w:line="250" w:lineRule="atLeast"/>
              <w:rPr>
                <w:rFonts w:ascii="Arial" w:eastAsia="Times New Roman" w:hAnsi="Arial" w:cs="Arial"/>
                <w:sz w:val="18"/>
                <w:szCs w:val="18"/>
                <w:lang w:eastAsia="en-GB"/>
              </w:rPr>
            </w:pPr>
            <w:r w:rsidRPr="0070018F">
              <w:rPr>
                <w:rFonts w:eastAsia="Times New Roman" w:cs="Arial"/>
                <w:b/>
                <w:bCs/>
                <w:color w:val="FFFFFF"/>
                <w:kern w:val="24"/>
                <w:sz w:val="18"/>
                <w:szCs w:val="18"/>
                <w:lang w:eastAsia="en-GB"/>
              </w:rPr>
              <w:t>The risk of harm to the subject or the public is assessed as possible but minimal.</w:t>
            </w:r>
          </w:p>
        </w:tc>
        <w:tc>
          <w:tcPr>
            <w:tcW w:w="5265" w:type="dxa"/>
            <w:tcBorders>
              <w:top w:val="single" w:sz="8" w:space="0" w:color="FFFFFF"/>
              <w:left w:val="single" w:sz="8" w:space="0" w:color="FFFFFF"/>
              <w:bottom w:val="single" w:sz="8" w:space="0" w:color="FFFFFF"/>
              <w:right w:val="single" w:sz="8" w:space="0" w:color="FFFFFF"/>
            </w:tcBorders>
            <w:shd w:val="clear" w:color="auto" w:fill="D0D8E8"/>
            <w:tcMar>
              <w:top w:w="62" w:type="dxa"/>
              <w:left w:w="166" w:type="dxa"/>
              <w:bottom w:w="62" w:type="dxa"/>
              <w:right w:w="166" w:type="dxa"/>
            </w:tcMar>
            <w:hideMark/>
          </w:tcPr>
          <w:p w:rsidR="00BF200E" w:rsidRPr="0070018F" w:rsidRDefault="00BF200E" w:rsidP="0070018F">
            <w:pPr>
              <w:spacing w:after="0" w:line="250" w:lineRule="atLeast"/>
              <w:rPr>
                <w:rFonts w:ascii="Arial" w:eastAsia="Times New Roman" w:hAnsi="Arial" w:cs="Arial"/>
                <w:sz w:val="18"/>
                <w:szCs w:val="18"/>
                <w:lang w:eastAsia="en-GB"/>
              </w:rPr>
            </w:pPr>
            <w:r w:rsidRPr="0070018F">
              <w:rPr>
                <w:rFonts w:eastAsia="Times New Roman" w:cs="Arial"/>
                <w:color w:val="000000"/>
                <w:kern w:val="24"/>
                <w:sz w:val="18"/>
                <w:szCs w:val="18"/>
                <w:lang w:eastAsia="en-GB"/>
              </w:rPr>
              <w:t>Proportionate enquiries should be carried out to ensure that the individual has not come to harm.</w:t>
            </w:r>
          </w:p>
        </w:tc>
      </w:tr>
      <w:tr w:rsidR="00BF200E" w:rsidRPr="00BF200E" w:rsidTr="00381EB0">
        <w:trPr>
          <w:trHeight w:val="358"/>
        </w:trPr>
        <w:tc>
          <w:tcPr>
            <w:tcW w:w="9325" w:type="dxa"/>
            <w:gridSpan w:val="2"/>
            <w:tcBorders>
              <w:top w:val="single" w:sz="8" w:space="0" w:color="FFFFFF"/>
              <w:left w:val="single" w:sz="8" w:space="0" w:color="FFFFFF"/>
              <w:bottom w:val="single" w:sz="8" w:space="0" w:color="FFFFFF"/>
              <w:right w:val="single" w:sz="8" w:space="0" w:color="FFFFFF"/>
            </w:tcBorders>
            <w:shd w:val="clear" w:color="auto" w:fill="4F81BD"/>
            <w:tcMar>
              <w:top w:w="62" w:type="dxa"/>
              <w:left w:w="166" w:type="dxa"/>
              <w:bottom w:w="62" w:type="dxa"/>
              <w:right w:w="166" w:type="dxa"/>
            </w:tcMar>
            <w:hideMark/>
          </w:tcPr>
          <w:p w:rsidR="00BF200E" w:rsidRPr="0070018F" w:rsidRDefault="00BF200E" w:rsidP="0070018F">
            <w:pPr>
              <w:spacing w:after="0" w:line="250" w:lineRule="atLeast"/>
              <w:rPr>
                <w:rFonts w:ascii="Arial" w:eastAsia="Times New Roman" w:hAnsi="Arial" w:cs="Arial"/>
                <w:sz w:val="18"/>
                <w:szCs w:val="18"/>
                <w:lang w:eastAsia="en-GB"/>
              </w:rPr>
            </w:pPr>
            <w:r w:rsidRPr="0070018F">
              <w:rPr>
                <w:rFonts w:eastAsia="Times New Roman" w:cs="Arial"/>
                <w:b/>
                <w:bCs/>
                <w:color w:val="FFFFFF"/>
                <w:kern w:val="24"/>
                <w:sz w:val="18"/>
                <w:szCs w:val="18"/>
                <w:lang w:eastAsia="en-GB"/>
              </w:rPr>
              <w:t>Medium risk</w:t>
            </w:r>
          </w:p>
        </w:tc>
      </w:tr>
      <w:tr w:rsidR="00BF200E" w:rsidRPr="00BF200E" w:rsidTr="00381EB0">
        <w:trPr>
          <w:trHeight w:val="638"/>
        </w:trPr>
        <w:tc>
          <w:tcPr>
            <w:tcW w:w="4060" w:type="dxa"/>
            <w:tcBorders>
              <w:top w:val="single" w:sz="8" w:space="0" w:color="FFFFFF"/>
              <w:left w:val="single" w:sz="8" w:space="0" w:color="FFFFFF"/>
              <w:bottom w:val="single" w:sz="8" w:space="0" w:color="FFFFFF"/>
              <w:right w:val="single" w:sz="8" w:space="0" w:color="FFFFFF"/>
            </w:tcBorders>
            <w:shd w:val="clear" w:color="auto" w:fill="4F81BD"/>
            <w:tcMar>
              <w:top w:w="62" w:type="dxa"/>
              <w:left w:w="166" w:type="dxa"/>
              <w:bottom w:w="62" w:type="dxa"/>
              <w:right w:w="166" w:type="dxa"/>
            </w:tcMar>
            <w:hideMark/>
          </w:tcPr>
          <w:p w:rsidR="00BF200E" w:rsidRPr="0070018F" w:rsidRDefault="00BF200E" w:rsidP="0070018F">
            <w:pPr>
              <w:spacing w:after="0" w:line="250" w:lineRule="atLeast"/>
              <w:rPr>
                <w:rFonts w:ascii="Arial" w:eastAsia="Times New Roman" w:hAnsi="Arial" w:cs="Arial"/>
                <w:sz w:val="18"/>
                <w:szCs w:val="18"/>
                <w:lang w:eastAsia="en-GB"/>
              </w:rPr>
            </w:pPr>
            <w:r w:rsidRPr="0070018F">
              <w:rPr>
                <w:rFonts w:eastAsia="Times New Roman" w:cs="Arial"/>
                <w:b/>
                <w:bCs/>
                <w:color w:val="FFFFFF"/>
                <w:kern w:val="24"/>
                <w:sz w:val="18"/>
                <w:szCs w:val="18"/>
                <w:lang w:eastAsia="en-GB"/>
              </w:rPr>
              <w:t>The risk of harm to the subject or the public is assessed as likely but not serious.</w:t>
            </w:r>
          </w:p>
        </w:tc>
        <w:tc>
          <w:tcPr>
            <w:tcW w:w="5265" w:type="dxa"/>
            <w:tcBorders>
              <w:top w:val="single" w:sz="8" w:space="0" w:color="FFFFFF"/>
              <w:left w:val="single" w:sz="8" w:space="0" w:color="FFFFFF"/>
              <w:bottom w:val="single" w:sz="8" w:space="0" w:color="FFFFFF"/>
              <w:right w:val="single" w:sz="8" w:space="0" w:color="FFFFFF"/>
            </w:tcBorders>
            <w:shd w:val="clear" w:color="auto" w:fill="D0D8E8"/>
            <w:tcMar>
              <w:top w:w="62" w:type="dxa"/>
              <w:left w:w="166" w:type="dxa"/>
              <w:bottom w:w="62" w:type="dxa"/>
              <w:right w:w="166" w:type="dxa"/>
            </w:tcMar>
            <w:hideMark/>
          </w:tcPr>
          <w:p w:rsidR="00BF200E" w:rsidRPr="0070018F" w:rsidRDefault="00BF200E" w:rsidP="0070018F">
            <w:pPr>
              <w:spacing w:after="0" w:line="250" w:lineRule="atLeast"/>
              <w:rPr>
                <w:rFonts w:ascii="Arial" w:eastAsia="Times New Roman" w:hAnsi="Arial" w:cs="Arial"/>
                <w:sz w:val="18"/>
                <w:szCs w:val="18"/>
                <w:lang w:eastAsia="en-GB"/>
              </w:rPr>
            </w:pPr>
            <w:r w:rsidRPr="0070018F">
              <w:rPr>
                <w:rFonts w:eastAsia="Times New Roman" w:cs="Arial"/>
                <w:color w:val="000000"/>
                <w:kern w:val="24"/>
                <w:sz w:val="18"/>
                <w:szCs w:val="18"/>
                <w:lang w:eastAsia="en-GB"/>
              </w:rPr>
              <w:t>This category requires an active and measured response by the police and other agencies in order to trace the missing person and support the person reporting.</w:t>
            </w:r>
          </w:p>
        </w:tc>
      </w:tr>
      <w:tr w:rsidR="00BF200E" w:rsidRPr="00BF200E" w:rsidTr="00381EB0">
        <w:trPr>
          <w:trHeight w:val="358"/>
        </w:trPr>
        <w:tc>
          <w:tcPr>
            <w:tcW w:w="9325" w:type="dxa"/>
            <w:gridSpan w:val="2"/>
            <w:tcBorders>
              <w:top w:val="single" w:sz="8" w:space="0" w:color="FFFFFF"/>
              <w:left w:val="single" w:sz="8" w:space="0" w:color="FFFFFF"/>
              <w:bottom w:val="single" w:sz="8" w:space="0" w:color="FFFFFF"/>
              <w:right w:val="single" w:sz="8" w:space="0" w:color="FFFFFF"/>
            </w:tcBorders>
            <w:shd w:val="clear" w:color="auto" w:fill="4F81BD"/>
            <w:tcMar>
              <w:top w:w="62" w:type="dxa"/>
              <w:left w:w="166" w:type="dxa"/>
              <w:bottom w:w="62" w:type="dxa"/>
              <w:right w:w="166" w:type="dxa"/>
            </w:tcMar>
            <w:hideMark/>
          </w:tcPr>
          <w:p w:rsidR="00BF200E" w:rsidRPr="0070018F" w:rsidRDefault="00BF200E" w:rsidP="0070018F">
            <w:pPr>
              <w:spacing w:after="0" w:line="250" w:lineRule="atLeast"/>
              <w:rPr>
                <w:rFonts w:ascii="Arial" w:eastAsia="Times New Roman" w:hAnsi="Arial" w:cs="Arial"/>
                <w:sz w:val="18"/>
                <w:szCs w:val="18"/>
                <w:lang w:eastAsia="en-GB"/>
              </w:rPr>
            </w:pPr>
            <w:r w:rsidRPr="0070018F">
              <w:rPr>
                <w:rFonts w:eastAsia="Times New Roman" w:cs="Arial"/>
                <w:b/>
                <w:bCs/>
                <w:color w:val="FFFFFF"/>
                <w:kern w:val="24"/>
                <w:sz w:val="18"/>
                <w:szCs w:val="18"/>
                <w:lang w:eastAsia="en-GB"/>
              </w:rPr>
              <w:t>High risk</w:t>
            </w:r>
          </w:p>
        </w:tc>
      </w:tr>
      <w:tr w:rsidR="00BF200E" w:rsidRPr="00BF200E" w:rsidTr="00872E33">
        <w:trPr>
          <w:trHeight w:val="485"/>
        </w:trPr>
        <w:tc>
          <w:tcPr>
            <w:tcW w:w="4060" w:type="dxa"/>
            <w:tcBorders>
              <w:top w:val="single" w:sz="8" w:space="0" w:color="FFFFFF"/>
              <w:left w:val="single" w:sz="8" w:space="0" w:color="FFFFFF"/>
              <w:bottom w:val="single" w:sz="8" w:space="0" w:color="FFFFFF"/>
              <w:right w:val="single" w:sz="8" w:space="0" w:color="FFFFFF"/>
            </w:tcBorders>
            <w:shd w:val="clear" w:color="auto" w:fill="4F81BD"/>
            <w:tcMar>
              <w:top w:w="62" w:type="dxa"/>
              <w:left w:w="166" w:type="dxa"/>
              <w:bottom w:w="62" w:type="dxa"/>
              <w:right w:w="166" w:type="dxa"/>
            </w:tcMar>
            <w:hideMark/>
          </w:tcPr>
          <w:p w:rsidR="00BF200E" w:rsidRPr="0070018F" w:rsidRDefault="00BF200E" w:rsidP="0070018F">
            <w:pPr>
              <w:spacing w:after="0" w:line="250" w:lineRule="atLeast"/>
              <w:rPr>
                <w:rFonts w:eastAsia="Times New Roman" w:cs="Arial"/>
                <w:b/>
                <w:bCs/>
                <w:color w:val="FFFFFF"/>
                <w:kern w:val="24"/>
                <w:sz w:val="18"/>
                <w:szCs w:val="16"/>
                <w:lang w:eastAsia="en-GB"/>
              </w:rPr>
            </w:pPr>
            <w:r w:rsidRPr="0070018F">
              <w:rPr>
                <w:rFonts w:eastAsia="Times New Roman" w:cs="Arial"/>
                <w:b/>
                <w:bCs/>
                <w:color w:val="FFFFFF"/>
                <w:kern w:val="24"/>
                <w:sz w:val="18"/>
                <w:szCs w:val="16"/>
                <w:lang w:eastAsia="en-GB"/>
              </w:rPr>
              <w:t>The risk of serious harm to the subject or the public is assessed as very likely.</w:t>
            </w:r>
            <w:r w:rsidR="00381EB0" w:rsidRPr="0070018F">
              <w:rPr>
                <w:rFonts w:eastAsia="Times New Roman" w:cs="Arial"/>
                <w:b/>
                <w:bCs/>
                <w:color w:val="FFFFFF"/>
                <w:kern w:val="24"/>
                <w:sz w:val="18"/>
                <w:szCs w:val="16"/>
                <w:lang w:eastAsia="en-GB"/>
              </w:rPr>
              <w:t xml:space="preserve"> </w:t>
            </w:r>
          </w:p>
          <w:p w:rsidR="00381EB0" w:rsidRPr="0070018F" w:rsidRDefault="00381EB0" w:rsidP="0070018F">
            <w:pPr>
              <w:pStyle w:val="NormalWeb"/>
              <w:spacing w:after="240" w:line="250" w:lineRule="atLeast"/>
              <w:jc w:val="both"/>
              <w:rPr>
                <w:rFonts w:ascii="Calibri" w:hAnsi="Calibri" w:cs="Arial"/>
                <w:color w:val="FF0000"/>
                <w:sz w:val="20"/>
                <w:szCs w:val="20"/>
              </w:rPr>
            </w:pPr>
            <w:r w:rsidRPr="00381EB0">
              <w:rPr>
                <w:rFonts w:ascii="Calibri" w:hAnsi="Calibri" w:cs="Arial"/>
                <w:sz w:val="20"/>
                <w:szCs w:val="20"/>
              </w:rPr>
              <w:t xml:space="preserve">Serious harm is defined as: </w:t>
            </w:r>
            <w:r w:rsidRPr="0070018F">
              <w:rPr>
                <w:rFonts w:ascii="Calibri" w:hAnsi="Calibri" w:cs="Arial"/>
                <w:sz w:val="20"/>
                <w:szCs w:val="20"/>
                <w:highlight w:val="lightGray"/>
              </w:rPr>
              <w:t>‘A risk which is life threatening and/or traumatic, and from which recovery, whether physical or psychological, can be expected to be difficult or impossible.’</w:t>
            </w:r>
          </w:p>
          <w:p w:rsidR="00381EB0" w:rsidRPr="00381EB0" w:rsidRDefault="00381EB0" w:rsidP="0070018F">
            <w:pPr>
              <w:pStyle w:val="NormalWeb"/>
              <w:spacing w:before="240" w:after="0" w:line="250" w:lineRule="atLeast"/>
              <w:jc w:val="both"/>
              <w:rPr>
                <w:rFonts w:ascii="Calibri" w:hAnsi="Calibri" w:cs="Arial"/>
                <w:sz w:val="20"/>
                <w:szCs w:val="20"/>
              </w:rPr>
            </w:pPr>
            <w:r w:rsidRPr="00381EB0">
              <w:rPr>
                <w:rFonts w:ascii="Calibri" w:hAnsi="Calibri" w:cs="Arial"/>
                <w:sz w:val="20"/>
                <w:szCs w:val="20"/>
              </w:rPr>
              <w:t>Where the risk cannot be accurately assessed without active investigation, appropriate lines of enquiry should be set to gather the required information to inform the risk assessment.</w:t>
            </w:r>
          </w:p>
          <w:p w:rsidR="00381EB0" w:rsidRPr="00BF200E" w:rsidRDefault="00381EB0" w:rsidP="0070018F">
            <w:pPr>
              <w:pStyle w:val="NormalWeb"/>
              <w:spacing w:before="120" w:after="0" w:line="250" w:lineRule="atLeast"/>
              <w:jc w:val="both"/>
              <w:rPr>
                <w:rFonts w:ascii="Arial" w:hAnsi="Arial" w:cs="Arial"/>
                <w:sz w:val="36"/>
                <w:szCs w:val="36"/>
              </w:rPr>
            </w:pPr>
            <w:r w:rsidRPr="00381EB0">
              <w:rPr>
                <w:rFonts w:ascii="Calibri" w:hAnsi="Calibri" w:cs="Arial"/>
                <w:i/>
                <w:sz w:val="20"/>
                <w:szCs w:val="20"/>
              </w:rPr>
              <w:t>(Home Office 2002 and Offender Assessment System 2006)</w:t>
            </w:r>
          </w:p>
        </w:tc>
        <w:tc>
          <w:tcPr>
            <w:tcW w:w="5265" w:type="dxa"/>
            <w:tcBorders>
              <w:top w:val="single" w:sz="8" w:space="0" w:color="FFFFFF"/>
              <w:left w:val="single" w:sz="8" w:space="0" w:color="FFFFFF"/>
              <w:bottom w:val="single" w:sz="8" w:space="0" w:color="FFFFFF"/>
              <w:right w:val="single" w:sz="8" w:space="0" w:color="FFFFFF"/>
            </w:tcBorders>
            <w:shd w:val="clear" w:color="auto" w:fill="D0D8E8"/>
            <w:tcMar>
              <w:top w:w="62" w:type="dxa"/>
              <w:left w:w="166" w:type="dxa"/>
              <w:bottom w:w="62" w:type="dxa"/>
              <w:right w:w="166" w:type="dxa"/>
            </w:tcMar>
            <w:hideMark/>
          </w:tcPr>
          <w:p w:rsidR="00BF200E" w:rsidRPr="0070018F" w:rsidRDefault="00BF200E" w:rsidP="0070018F">
            <w:pPr>
              <w:spacing w:after="0" w:line="250" w:lineRule="atLeast"/>
              <w:rPr>
                <w:rFonts w:ascii="Arial" w:eastAsia="Times New Roman" w:hAnsi="Arial" w:cs="Arial"/>
                <w:sz w:val="18"/>
                <w:szCs w:val="36"/>
                <w:lang w:eastAsia="en-GB"/>
              </w:rPr>
            </w:pPr>
            <w:r w:rsidRPr="0070018F">
              <w:rPr>
                <w:rFonts w:eastAsia="Times New Roman" w:cs="Arial"/>
                <w:color w:val="000000"/>
                <w:kern w:val="24"/>
                <w:sz w:val="18"/>
                <w:szCs w:val="16"/>
                <w:lang w:eastAsia="en-GB"/>
              </w:rPr>
              <w:t>This category almost always requires the immediate deployment of police resources – action may be delayed in exceptional circumstances, such as searching water or forested areas during hours of darkness. A member of the senior management team must be involved in the examination of initial lines of enquiry and approval of appropriate staffing levels. Such cases should lead to the appointment of an investigating officer (IO) and possibly an SIO, and a police search adviser (PolSA).</w:t>
            </w:r>
          </w:p>
          <w:p w:rsidR="00BF200E" w:rsidRPr="0070018F" w:rsidRDefault="00BF200E" w:rsidP="0070018F">
            <w:pPr>
              <w:spacing w:after="150" w:line="250" w:lineRule="atLeast"/>
              <w:rPr>
                <w:rFonts w:ascii="Arial" w:eastAsia="Times New Roman" w:hAnsi="Arial" w:cs="Arial"/>
                <w:sz w:val="18"/>
                <w:szCs w:val="36"/>
                <w:lang w:eastAsia="en-GB"/>
              </w:rPr>
            </w:pPr>
            <w:r w:rsidRPr="0070018F">
              <w:rPr>
                <w:rFonts w:eastAsia="Times New Roman" w:cs="Arial"/>
                <w:color w:val="000000"/>
                <w:kern w:val="24"/>
                <w:sz w:val="18"/>
                <w:szCs w:val="16"/>
                <w:lang w:eastAsia="en-GB"/>
              </w:rPr>
              <w:t>There should be a press/media strategy and/or close contact with outside agencies. Family support should be put in place where appropriate. The MPB should be notified of the case without undue delay. Children’s services must also be notified immediately if the person is under 18.</w:t>
            </w:r>
          </w:p>
        </w:tc>
      </w:tr>
    </w:tbl>
    <w:p w:rsidR="00BF200E" w:rsidRPr="00BF200E" w:rsidRDefault="00BF200E" w:rsidP="0070018F">
      <w:pPr>
        <w:spacing w:after="0" w:line="240" w:lineRule="auto"/>
        <w:contextualSpacing/>
        <w:jc w:val="both"/>
        <w:rPr>
          <w:rFonts w:ascii="Arial" w:eastAsia="Times New Roman" w:hAnsi="Arial" w:cs="Arial"/>
          <w:color w:val="7030A0"/>
          <w:lang w:eastAsia="en-GB"/>
        </w:rPr>
      </w:pPr>
    </w:p>
    <w:sectPr w:rsidR="00BF200E" w:rsidRPr="00BF200E" w:rsidSect="0070018F">
      <w:headerReference w:type="default" r:id="rId12"/>
      <w:footerReference w:type="default" r:id="rId13"/>
      <w:pgSz w:w="11906" w:h="16838"/>
      <w:pgMar w:top="964" w:right="1440" w:bottom="993"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C7" w:rsidRDefault="009C7EC7" w:rsidP="00854F0B">
      <w:pPr>
        <w:spacing w:after="0" w:line="240" w:lineRule="auto"/>
      </w:pPr>
      <w:r>
        <w:separator/>
      </w:r>
    </w:p>
  </w:endnote>
  <w:endnote w:type="continuationSeparator" w:id="0">
    <w:p w:rsidR="009C7EC7" w:rsidRDefault="009C7EC7" w:rsidP="0085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55" w:rsidRDefault="005B7255" w:rsidP="005B7255">
    <w:pPr>
      <w:pStyle w:val="Footer"/>
    </w:pPr>
    <w:r w:rsidRPr="005B7255">
      <w:rPr>
        <w:rFonts w:ascii="Arial" w:hAnsi="Arial" w:cs="Arial"/>
        <w:color w:val="000000"/>
        <w:sz w:val="16"/>
      </w:rPr>
      <w:t xml:space="preserve">Missing </w:t>
    </w:r>
    <w:r w:rsidR="0070018F">
      <w:rPr>
        <w:rFonts w:ascii="Arial" w:hAnsi="Arial" w:cs="Arial"/>
        <w:color w:val="000000"/>
        <w:sz w:val="16"/>
      </w:rPr>
      <w:t>Aide Memoire</w:t>
    </w:r>
    <w:r w:rsidRPr="005B7255">
      <w:rPr>
        <w:rFonts w:ascii="Arial" w:hAnsi="Arial" w:cs="Arial"/>
        <w:color w:val="000000"/>
        <w:sz w:val="16"/>
      </w:rPr>
      <w:t xml:space="preserve"> May 2017</w:t>
    </w:r>
    <w:r w:rsidRPr="005B7255">
      <w:rPr>
        <w:sz w:val="16"/>
      </w:rPr>
      <w:t xml:space="preserve"> </w:t>
    </w:r>
    <w:r>
      <w:tab/>
    </w:r>
    <w:r>
      <w:tab/>
    </w:r>
    <w:r>
      <w:fldChar w:fldCharType="begin"/>
    </w:r>
    <w:r>
      <w:instrText xml:space="preserve"> PAGE   \* MERGEFORMAT </w:instrText>
    </w:r>
    <w:r>
      <w:fldChar w:fldCharType="separate"/>
    </w:r>
    <w:r w:rsidR="001455A0">
      <w:rPr>
        <w:noProof/>
      </w:rPr>
      <w:t>2</w:t>
    </w:r>
    <w:r>
      <w:rPr>
        <w:noProof/>
      </w:rPr>
      <w:fldChar w:fldCharType="end"/>
    </w:r>
  </w:p>
  <w:p w:rsidR="00854F0B" w:rsidRDefault="00854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C7" w:rsidRDefault="009C7EC7" w:rsidP="00854F0B">
      <w:pPr>
        <w:spacing w:after="0" w:line="240" w:lineRule="auto"/>
      </w:pPr>
      <w:r>
        <w:separator/>
      </w:r>
    </w:p>
  </w:footnote>
  <w:footnote w:type="continuationSeparator" w:id="0">
    <w:p w:rsidR="009C7EC7" w:rsidRDefault="009C7EC7" w:rsidP="0085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51" w:rsidRDefault="00E8638A">
    <w:pPr>
      <w:pStyle w:val="Header"/>
    </w:pPr>
    <w:r>
      <w:rPr>
        <w:noProof/>
        <w:lang w:eastAsia="en-GB"/>
      </w:rPr>
      <w:drawing>
        <wp:anchor distT="0" distB="0" distL="114300" distR="114300" simplePos="0" relativeHeight="251658240" behindDoc="0" locked="0" layoutInCell="1" allowOverlap="1" wp14:anchorId="53392B61" wp14:editId="5341F8B6">
          <wp:simplePos x="0" y="0"/>
          <wp:positionH relativeFrom="column">
            <wp:posOffset>5822950</wp:posOffset>
          </wp:positionH>
          <wp:positionV relativeFrom="paragraph">
            <wp:posOffset>-205740</wp:posOffset>
          </wp:positionV>
          <wp:extent cx="340360" cy="399415"/>
          <wp:effectExtent l="0" t="0" r="2540" b="635"/>
          <wp:wrapSquare wrapText="bothSides"/>
          <wp:docPr id="2" name="Picture 2" descr="Gemstone%20log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stone%20logo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24EF3B1B" wp14:editId="08BB3E3F">
          <wp:simplePos x="0" y="0"/>
          <wp:positionH relativeFrom="column">
            <wp:posOffset>-329565</wp:posOffset>
          </wp:positionH>
          <wp:positionV relativeFrom="paragraph">
            <wp:posOffset>-171450</wp:posOffset>
          </wp:positionV>
          <wp:extent cx="329565" cy="399415"/>
          <wp:effectExtent l="0" t="0" r="0" b="635"/>
          <wp:wrapSquare wrapText="bothSides"/>
          <wp:docPr id="1" name="Picture 1" descr="_80516751_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80516751_pol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565" cy="399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971"/>
    <w:multiLevelType w:val="multilevel"/>
    <w:tmpl w:val="0D3E6174"/>
    <w:lvl w:ilvl="0">
      <w:start w:val="1"/>
      <w:numFmt w:val="decimal"/>
      <w:lvlText w:val="%1."/>
      <w:lvlJc w:val="left"/>
      <w:pPr>
        <w:ind w:left="1080" w:hanging="720"/>
      </w:pPr>
      <w:rPr>
        <w:rFonts w:hint="default"/>
        <w:b/>
        <w:i w:val="0"/>
        <w:color w:val="004C72"/>
        <w:sz w:val="24"/>
      </w:rPr>
    </w:lvl>
    <w:lvl w:ilvl="1">
      <w:start w:val="1"/>
      <w:numFmt w:val="decimal"/>
      <w:isLgl/>
      <w:lvlText w:val="%1.%2"/>
      <w:lvlJc w:val="left"/>
      <w:pPr>
        <w:ind w:left="1572" w:hanging="720"/>
      </w:pPr>
      <w:rPr>
        <w:rFonts w:ascii="Arial" w:hAnsi="Arial" w:cs="Arial" w:hint="default"/>
        <w:b/>
        <w:color w:val="00517A"/>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EA5C16"/>
    <w:multiLevelType w:val="hybridMultilevel"/>
    <w:tmpl w:val="0526D762"/>
    <w:lvl w:ilvl="0" w:tplc="6DC49B5E">
      <w:start w:val="2"/>
      <w:numFmt w:val="bullet"/>
      <w:lvlText w:val="-"/>
      <w:lvlJc w:val="left"/>
      <w:pPr>
        <w:tabs>
          <w:tab w:val="num" w:pos="720"/>
        </w:tabs>
        <w:ind w:left="720" w:hanging="360"/>
      </w:pPr>
      <w:rPr>
        <w:rFonts w:ascii="Arial" w:eastAsia="Times New Roman" w:hAnsi="Arial" w:cs="Aria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82A6D"/>
    <w:multiLevelType w:val="hybridMultilevel"/>
    <w:tmpl w:val="A0DC9D00"/>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23BC3"/>
    <w:multiLevelType w:val="hybridMultilevel"/>
    <w:tmpl w:val="00784EB0"/>
    <w:lvl w:ilvl="0" w:tplc="E4728994">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53F23"/>
    <w:multiLevelType w:val="hybridMultilevel"/>
    <w:tmpl w:val="C2D03BBE"/>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7031265"/>
    <w:multiLevelType w:val="hybridMultilevel"/>
    <w:tmpl w:val="7C9C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C7734"/>
    <w:multiLevelType w:val="hybridMultilevel"/>
    <w:tmpl w:val="E586DF4E"/>
    <w:lvl w:ilvl="0" w:tplc="6DC49B5E">
      <w:start w:val="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17A057E"/>
    <w:multiLevelType w:val="hybridMultilevel"/>
    <w:tmpl w:val="D77E75EA"/>
    <w:lvl w:ilvl="0" w:tplc="13786776">
      <w:start w:val="2"/>
      <w:numFmt w:val="bullet"/>
      <w:lvlText w:val="-"/>
      <w:lvlJc w:val="left"/>
      <w:pPr>
        <w:tabs>
          <w:tab w:val="num" w:pos="720"/>
        </w:tabs>
        <w:ind w:left="720" w:hanging="360"/>
      </w:pPr>
      <w:rPr>
        <w:rFonts w:ascii="Arial" w:eastAsia="Times New Roman" w:hAnsi="Arial" w:cs="Arial" w:hint="default"/>
        <w:b/>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0B3CFE"/>
    <w:multiLevelType w:val="hybridMultilevel"/>
    <w:tmpl w:val="E4AE6DE2"/>
    <w:lvl w:ilvl="0" w:tplc="6DC49B5E">
      <w:start w:val="2"/>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75035"/>
    <w:multiLevelType w:val="hybridMultilevel"/>
    <w:tmpl w:val="930A555C"/>
    <w:lvl w:ilvl="0" w:tplc="6DC49B5E">
      <w:start w:val="2"/>
      <w:numFmt w:val="bullet"/>
      <w:lvlText w:val="-"/>
      <w:lvlJc w:val="left"/>
      <w:pPr>
        <w:tabs>
          <w:tab w:val="num" w:pos="720"/>
        </w:tabs>
        <w:ind w:left="720" w:hanging="360"/>
      </w:pPr>
      <w:rPr>
        <w:rFonts w:ascii="Arial" w:eastAsia="Times New Roman" w:hAnsi="Arial" w:cs="Arial"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E654202"/>
    <w:multiLevelType w:val="hybridMultilevel"/>
    <w:tmpl w:val="066A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3"/>
  </w:num>
  <w:num w:numId="7">
    <w:abstractNumId w:val="6"/>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6B"/>
    <w:rsid w:val="000134FF"/>
    <w:rsid w:val="0002184D"/>
    <w:rsid w:val="00027351"/>
    <w:rsid w:val="00081755"/>
    <w:rsid w:val="001040C4"/>
    <w:rsid w:val="00126566"/>
    <w:rsid w:val="00127CF7"/>
    <w:rsid w:val="001455A0"/>
    <w:rsid w:val="001B077A"/>
    <w:rsid w:val="001F40E4"/>
    <w:rsid w:val="001F5919"/>
    <w:rsid w:val="00207CC8"/>
    <w:rsid w:val="00243011"/>
    <w:rsid w:val="002F0BCB"/>
    <w:rsid w:val="00343080"/>
    <w:rsid w:val="00345601"/>
    <w:rsid w:val="00361FF3"/>
    <w:rsid w:val="00381EB0"/>
    <w:rsid w:val="00390264"/>
    <w:rsid w:val="003A701D"/>
    <w:rsid w:val="003E3846"/>
    <w:rsid w:val="00420DF7"/>
    <w:rsid w:val="004225A5"/>
    <w:rsid w:val="00440A54"/>
    <w:rsid w:val="00460747"/>
    <w:rsid w:val="00485BF9"/>
    <w:rsid w:val="0050200E"/>
    <w:rsid w:val="00567072"/>
    <w:rsid w:val="005A74E6"/>
    <w:rsid w:val="005B7255"/>
    <w:rsid w:val="005E7944"/>
    <w:rsid w:val="006360A4"/>
    <w:rsid w:val="0067368E"/>
    <w:rsid w:val="0070018F"/>
    <w:rsid w:val="007026AB"/>
    <w:rsid w:val="00743DEC"/>
    <w:rsid w:val="007A6638"/>
    <w:rsid w:val="007D79CA"/>
    <w:rsid w:val="007F21D5"/>
    <w:rsid w:val="00854F0B"/>
    <w:rsid w:val="00872E33"/>
    <w:rsid w:val="0094116B"/>
    <w:rsid w:val="009C7EC7"/>
    <w:rsid w:val="00A51B43"/>
    <w:rsid w:val="00B45800"/>
    <w:rsid w:val="00B64DAE"/>
    <w:rsid w:val="00B65D2C"/>
    <w:rsid w:val="00BF200E"/>
    <w:rsid w:val="00C168E7"/>
    <w:rsid w:val="00C71070"/>
    <w:rsid w:val="00C77A01"/>
    <w:rsid w:val="00CA0AB3"/>
    <w:rsid w:val="00CF45BD"/>
    <w:rsid w:val="00DB6809"/>
    <w:rsid w:val="00DF07C9"/>
    <w:rsid w:val="00E635A6"/>
    <w:rsid w:val="00E8638A"/>
    <w:rsid w:val="00EB0152"/>
    <w:rsid w:val="00ED447B"/>
    <w:rsid w:val="00EE20BF"/>
    <w:rsid w:val="00EE428D"/>
    <w:rsid w:val="00EF18E5"/>
    <w:rsid w:val="00F848B1"/>
    <w:rsid w:val="00FA6539"/>
    <w:rsid w:val="00FD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1F3CE8-D065-4556-9B99-39DFC012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F0B"/>
    <w:pPr>
      <w:tabs>
        <w:tab w:val="center" w:pos="4513"/>
        <w:tab w:val="right" w:pos="9026"/>
      </w:tabs>
    </w:pPr>
  </w:style>
  <w:style w:type="character" w:customStyle="1" w:styleId="HeaderChar">
    <w:name w:val="Header Char"/>
    <w:link w:val="Header"/>
    <w:uiPriority w:val="99"/>
    <w:rsid w:val="00854F0B"/>
    <w:rPr>
      <w:sz w:val="22"/>
      <w:szCs w:val="22"/>
      <w:lang w:eastAsia="en-US"/>
    </w:rPr>
  </w:style>
  <w:style w:type="paragraph" w:styleId="Footer">
    <w:name w:val="footer"/>
    <w:basedOn w:val="Normal"/>
    <w:link w:val="FooterChar"/>
    <w:uiPriority w:val="99"/>
    <w:unhideWhenUsed/>
    <w:rsid w:val="00854F0B"/>
    <w:pPr>
      <w:tabs>
        <w:tab w:val="center" w:pos="4513"/>
        <w:tab w:val="right" w:pos="9026"/>
      </w:tabs>
    </w:pPr>
  </w:style>
  <w:style w:type="character" w:customStyle="1" w:styleId="FooterChar">
    <w:name w:val="Footer Char"/>
    <w:link w:val="Footer"/>
    <w:uiPriority w:val="99"/>
    <w:rsid w:val="00854F0B"/>
    <w:rPr>
      <w:sz w:val="22"/>
      <w:szCs w:val="22"/>
      <w:lang w:eastAsia="en-US"/>
    </w:rPr>
  </w:style>
  <w:style w:type="paragraph" w:styleId="ListParagraph">
    <w:name w:val="List Paragraph"/>
    <w:basedOn w:val="Normal"/>
    <w:uiPriority w:val="34"/>
    <w:qFormat/>
    <w:rsid w:val="003E3846"/>
    <w:pPr>
      <w:spacing w:after="0" w:line="240" w:lineRule="auto"/>
      <w:ind w:left="720"/>
    </w:pPr>
    <w:rPr>
      <w:rFonts w:eastAsia="Times New Roman"/>
    </w:rPr>
  </w:style>
  <w:style w:type="paragraph" w:styleId="NormalWeb">
    <w:name w:val="Normal (Web)"/>
    <w:basedOn w:val="Normal"/>
    <w:uiPriority w:val="99"/>
    <w:unhideWhenUsed/>
    <w:rsid w:val="003A701D"/>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7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E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7360">
      <w:bodyDiv w:val="1"/>
      <w:marLeft w:val="0"/>
      <w:marRight w:val="0"/>
      <w:marTop w:val="0"/>
      <w:marBottom w:val="0"/>
      <w:divBdr>
        <w:top w:val="none" w:sz="0" w:space="0" w:color="auto"/>
        <w:left w:val="none" w:sz="0" w:space="0" w:color="auto"/>
        <w:bottom w:val="none" w:sz="0" w:space="0" w:color="auto"/>
        <w:right w:val="none" w:sz="0" w:space="0" w:color="auto"/>
      </w:divBdr>
    </w:div>
    <w:div w:id="433551514">
      <w:bodyDiv w:val="1"/>
      <w:marLeft w:val="0"/>
      <w:marRight w:val="0"/>
      <w:marTop w:val="0"/>
      <w:marBottom w:val="0"/>
      <w:divBdr>
        <w:top w:val="none" w:sz="0" w:space="0" w:color="auto"/>
        <w:left w:val="none" w:sz="0" w:space="0" w:color="auto"/>
        <w:bottom w:val="none" w:sz="0" w:space="0" w:color="auto"/>
        <w:right w:val="none" w:sz="0" w:space="0" w:color="auto"/>
      </w:divBdr>
    </w:div>
    <w:div w:id="439615529">
      <w:bodyDiv w:val="1"/>
      <w:marLeft w:val="0"/>
      <w:marRight w:val="0"/>
      <w:marTop w:val="0"/>
      <w:marBottom w:val="0"/>
      <w:divBdr>
        <w:top w:val="none" w:sz="0" w:space="0" w:color="auto"/>
        <w:left w:val="none" w:sz="0" w:space="0" w:color="auto"/>
        <w:bottom w:val="none" w:sz="0" w:space="0" w:color="auto"/>
        <w:right w:val="none" w:sz="0" w:space="0" w:color="auto"/>
      </w:divBdr>
    </w:div>
    <w:div w:id="480078374">
      <w:bodyDiv w:val="1"/>
      <w:marLeft w:val="0"/>
      <w:marRight w:val="0"/>
      <w:marTop w:val="0"/>
      <w:marBottom w:val="0"/>
      <w:divBdr>
        <w:top w:val="none" w:sz="0" w:space="0" w:color="auto"/>
        <w:left w:val="none" w:sz="0" w:space="0" w:color="auto"/>
        <w:bottom w:val="none" w:sz="0" w:space="0" w:color="auto"/>
        <w:right w:val="none" w:sz="0" w:space="0" w:color="auto"/>
      </w:divBdr>
      <w:divsChild>
        <w:div w:id="1627004397">
          <w:marLeft w:val="0"/>
          <w:marRight w:val="0"/>
          <w:marTop w:val="0"/>
          <w:marBottom w:val="0"/>
          <w:divBdr>
            <w:top w:val="none" w:sz="0" w:space="0" w:color="auto"/>
            <w:left w:val="none" w:sz="0" w:space="0" w:color="auto"/>
            <w:bottom w:val="none" w:sz="0" w:space="0" w:color="auto"/>
            <w:right w:val="none" w:sz="0" w:space="0" w:color="auto"/>
          </w:divBdr>
          <w:divsChild>
            <w:div w:id="1299650677">
              <w:marLeft w:val="113"/>
              <w:marRight w:val="567"/>
              <w:marTop w:val="0"/>
              <w:marBottom w:val="0"/>
              <w:divBdr>
                <w:top w:val="single" w:sz="4" w:space="1" w:color="FB8F3C"/>
                <w:left w:val="none" w:sz="0" w:space="0" w:color="auto"/>
                <w:bottom w:val="single" w:sz="4" w:space="1" w:color="FB8F3C"/>
                <w:right w:val="none" w:sz="0" w:space="0" w:color="auto"/>
              </w:divBdr>
            </w:div>
          </w:divsChild>
        </w:div>
      </w:divsChild>
    </w:div>
    <w:div w:id="805005295">
      <w:bodyDiv w:val="1"/>
      <w:marLeft w:val="0"/>
      <w:marRight w:val="0"/>
      <w:marTop w:val="0"/>
      <w:marBottom w:val="0"/>
      <w:divBdr>
        <w:top w:val="none" w:sz="0" w:space="0" w:color="auto"/>
        <w:left w:val="none" w:sz="0" w:space="0" w:color="auto"/>
        <w:bottom w:val="none" w:sz="0" w:space="0" w:color="auto"/>
        <w:right w:val="none" w:sz="0" w:space="0" w:color="auto"/>
      </w:divBdr>
    </w:div>
    <w:div w:id="1564482548">
      <w:bodyDiv w:val="1"/>
      <w:marLeft w:val="0"/>
      <w:marRight w:val="0"/>
      <w:marTop w:val="0"/>
      <w:marBottom w:val="0"/>
      <w:divBdr>
        <w:top w:val="none" w:sz="0" w:space="0" w:color="auto"/>
        <w:left w:val="none" w:sz="0" w:space="0" w:color="auto"/>
        <w:bottom w:val="none" w:sz="0" w:space="0" w:color="auto"/>
        <w:right w:val="none" w:sz="0" w:space="0" w:color="auto"/>
      </w:divBdr>
      <w:divsChild>
        <w:div w:id="1378116294">
          <w:marLeft w:val="0"/>
          <w:marRight w:val="0"/>
          <w:marTop w:val="0"/>
          <w:marBottom w:val="0"/>
          <w:divBdr>
            <w:top w:val="none" w:sz="0" w:space="0" w:color="auto"/>
            <w:left w:val="none" w:sz="0" w:space="0" w:color="auto"/>
            <w:bottom w:val="none" w:sz="0" w:space="0" w:color="auto"/>
            <w:right w:val="none" w:sz="0" w:space="0" w:color="auto"/>
          </w:divBdr>
          <w:divsChild>
            <w:div w:id="1024403751">
              <w:marLeft w:val="0"/>
              <w:marRight w:val="0"/>
              <w:marTop w:val="0"/>
              <w:marBottom w:val="0"/>
              <w:divBdr>
                <w:top w:val="none" w:sz="0" w:space="0" w:color="auto"/>
                <w:left w:val="none" w:sz="0" w:space="0" w:color="auto"/>
                <w:bottom w:val="none" w:sz="0" w:space="0" w:color="auto"/>
                <w:right w:val="none" w:sz="0" w:space="0" w:color="auto"/>
              </w:divBdr>
              <w:divsChild>
                <w:div w:id="3732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PLATE">
  <a:themeElements>
    <a:clrScheme name="TEMPLATE">
      <a:dk1>
        <a:srgbClr val="404040"/>
      </a:dk1>
      <a:lt1>
        <a:srgbClr val="FFFFFF"/>
      </a:lt1>
      <a:dk2>
        <a:srgbClr val="002C77"/>
      </a:dk2>
      <a:lt2>
        <a:srgbClr val="FFFFFF"/>
      </a:lt2>
      <a:accent1>
        <a:srgbClr val="006699"/>
      </a:accent1>
      <a:accent2>
        <a:srgbClr val="00A8C8"/>
      </a:accent2>
      <a:accent3>
        <a:srgbClr val="91E6EF"/>
      </a:accent3>
      <a:accent4>
        <a:srgbClr val="57D9E7"/>
      </a:accent4>
      <a:accent5>
        <a:srgbClr val="007A92"/>
      </a:accent5>
      <a:accent6>
        <a:srgbClr val="00517A"/>
      </a:accent6>
      <a:hlink>
        <a:srgbClr val="000099"/>
      </a:hlink>
      <a:folHlink>
        <a:srgbClr val="00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9BF614AD6D54B9D2854D3F0B3A905" ma:contentTypeVersion="0" ma:contentTypeDescription="Create a new document." ma:contentTypeScope="" ma:versionID="f05b3f80da2059775a7387e0ead017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7937-7B2F-4764-A4B8-0556BA0F9979}">
  <ds:schemaRef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DEB1C6EF-9FE2-42AB-B0B4-8CB32B551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7E829A-B743-4E33-812E-040F57020EAD}">
  <ds:schemaRefs>
    <ds:schemaRef ds:uri="http://schemas.microsoft.com/sharepoint/v3/contenttype/forms"/>
  </ds:schemaRefs>
</ds:datastoreItem>
</file>

<file path=customXml/itemProps4.xml><?xml version="1.0" encoding="utf-8"?>
<ds:datastoreItem xmlns:ds="http://schemas.openxmlformats.org/officeDocument/2006/customXml" ds:itemID="{E1F4DAA9-FDFF-410B-922D-9FC9D4DA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Wiltshire Police</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0963</dc:creator>
  <cp:lastModifiedBy>Helen Vennard</cp:lastModifiedBy>
  <cp:revision>2</cp:revision>
  <cp:lastPrinted>2017-03-03T07:54:00Z</cp:lastPrinted>
  <dcterms:created xsi:type="dcterms:W3CDTF">2020-01-16T10:08:00Z</dcterms:created>
  <dcterms:modified xsi:type="dcterms:W3CDTF">2020-01-16T10:08:00Z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0x010100A6E9BF614AD6D54B9D2854D3F0B3A905</vt:lpwstr>
  </property>
</Properties>
</file>